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4213D"/>
          <w:sz w:val="44"/>
          <w:szCs w:val="44"/>
        </w:rPr>
        <w:t xml:space="preserve">Werkboek — Deel 7 — Werkboek</w:t>
      </w:r>
    </w:p>
    <w:p>
      <w:pPr>
        <w:spacing w:after="300"/>
      </w:pPr>
      <w:r>
        <w:rPr>
          <w:rFonts w:ascii="Calibri" w:cs="Calibri" w:eastAsia="Calibri" w:hAnsi="Calibri"/>
          <w:i/>
          <w:iCs/>
          <w:color w:val="2563A8"/>
          <w:sz w:val="22"/>
          <w:szCs w:val="22"/>
        </w:rPr>
        <w:t xml:space="preserve">Niveau 1 — Fundament · Nederlandse pensioenverzekering</w:t>
      </w:r>
    </w:p>
    <w:p>
      <w:pPr>
        <w:pStyle w:val="Heading1"/>
        <w:pBdr>
          <w:bottom w:val="single" w:color="14213D" w:sz="12" w:space="4"/>
        </w:pBdr>
        <w:spacing w:after="160" w:before="240"/>
      </w:pPr>
      <w:r>
        <w:rPr>
          <w:rFonts w:ascii="Georgia" w:cs="Georgia" w:eastAsia="Georgia" w:hAnsi="Georgia"/>
          <w:b/>
          <w:bCs/>
          <w:color w:val="14213D"/>
          <w:sz w:val="36"/>
          <w:szCs w:val="36"/>
        </w:rPr>
        <w:t xml:space="preserve">Deel 7 — Werkboek</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Niveau 1 · Fundament · Opdrachten met uitwerkingen</w:t>
      </w:r>
      <w:r>
        <w:rPr>
          <w:rFonts w:ascii="Calibri" w:cs="Calibri" w:eastAsia="Calibri" w:hAnsi="Calibri"/>
          <w:b w:val="false"/>
          <w:bCs w:val="false"/>
          <w:i w:val="false"/>
          <w:iCs w:val="false"/>
          <w:sz w:val="22"/>
          <w:szCs w:val="22"/>
        </w:rPr>
        <w:t xml:space="preserve"/>
      </w:r>
    </w:p>
    <w:p>
      <w:pPr>
        <w:spacing w:after="100"/>
      </w:pPr>
    </w:p>
    <w:p>
      <w:pPr>
        <w:pStyle w:val="Heading2"/>
        <w:spacing w:after="120" w:before="200"/>
      </w:pPr>
      <w:r>
        <w:rPr>
          <w:rFonts w:ascii="Georgia" w:cs="Georgia" w:eastAsia="Georgia" w:hAnsi="Georgia"/>
          <w:b/>
          <w:bCs/>
          <w:color w:val="2563A8"/>
          <w:sz w:val="28"/>
          <w:szCs w:val="28"/>
        </w:rPr>
        <w:t xml:space="preserve">Opdracht 7.1 — Wel of geen transitieplan</w:t>
      </w:r>
    </w:p>
    <w:p>
      <w:pPr>
        <w:spacing w:after="140" w:line="300"/>
      </w:pPr>
      <w:r>
        <w:rPr>
          <w:rFonts w:ascii="Calibri" w:cs="Calibri" w:eastAsia="Calibri" w:hAnsi="Calibri"/>
          <w:b w:val="false"/>
          <w:bCs w:val="false"/>
          <w:i w:val="false"/>
          <w:iCs w:val="false"/>
          <w:sz w:val="22"/>
          <w:szCs w:val="22"/>
        </w:rPr>
        <w:t xml:space="preserve">Is een transitieplan verplicht? Motiveer.</w:t>
      </w:r>
    </w:p>
    <w:p>
      <w:pPr>
        <w:spacing w:after="140" w:line="300"/>
      </w:pPr>
      <w:r>
        <w:rPr>
          <w:rFonts w:ascii="Calibri" w:cs="Calibri" w:eastAsia="Calibri" w:hAnsi="Calibri"/>
          <w:b w:val="false"/>
          <w:bCs w:val="false"/>
          <w:i w:val="false"/>
          <w:iCs w:val="false"/>
          <w:sz w:val="22"/>
          <w:szCs w:val="22"/>
        </w:rPr>
        <w:t xml:space="preserve">a. Van Doorn Techniek stapt over op één vlakke premie voor iedereen.</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b. Van Doorn kiest voor de eerbiedigende werking en past alleen het nabestaandenpensioen aan.</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c. Een werkgever heeft sinds 2019 een vlakke premie van 12% en moet alleen het nabestaandenpensioen aanpassen.</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d. Bpf T&amp;I gaat over op de solidaire premieregeling.</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w:t>
            </w:r>
          </w:p>
        </w:tc>
      </w:tr>
    </w:tbl>
    <w:p>
      <w:pPr>
        <w:spacing w:after="140" w:line="300"/>
      </w:pPr>
      <w:r>
        <w:rPr>
          <w:rFonts w:ascii="Calibri" w:cs="Calibri" w:eastAsia="Calibri" w:hAnsi="Calibri"/>
          <w:b w:val="false"/>
          <w:bCs w:val="false"/>
          <w:i w:val="false"/>
          <w:iCs w:val="false"/>
          <w:sz w:val="22"/>
          <w:szCs w:val="22"/>
        </w:rPr>
        <w:t xml:space="preserve">a. Ja — transitie naar een Wtp-regeling, met effecten voor de deelnemers en een compensatievraag.</w:t>
      </w:r>
    </w:p>
    <w:p>
      <w:pPr>
        <w:spacing w:after="140" w:line="300"/>
      </w:pPr>
      <w:r>
        <w:rPr>
          <w:rFonts w:ascii="Calibri" w:cs="Calibri" w:eastAsia="Calibri" w:hAnsi="Calibri"/>
          <w:b w:val="false"/>
          <w:bCs w:val="false"/>
          <w:i w:val="false"/>
          <w:iCs w:val="false"/>
          <w:sz w:val="22"/>
          <w:szCs w:val="22"/>
        </w:rPr>
        <w:t xml:space="preserve">b. Niet wettelijk verplicht. Bij gebruik van de eerbiedigende werking vervalt de plicht, ook al wijzigt het nabestaandenpensioen. Advies in de praktijk: stel er tóch een op, in verkorte vorm — als vastlegging, als informatiedocument voor de OR en als dossier voor later.</w:t>
      </w:r>
    </w:p>
    <w:p>
      <w:pPr>
        <w:spacing w:after="140" w:line="300"/>
      </w:pPr>
      <w:r>
        <w:rPr>
          <w:rFonts w:ascii="Calibri" w:cs="Calibri" w:eastAsia="Calibri" w:hAnsi="Calibri"/>
          <w:b w:val="false"/>
          <w:bCs w:val="false"/>
          <w:i w:val="false"/>
          <w:iCs w:val="false"/>
          <w:sz w:val="22"/>
          <w:szCs w:val="22"/>
        </w:rPr>
        <w:t xml:space="preserve">c. Ja. Er is geen eerbiedigende werking en er moeten andere onderdelen worden aangepast; dan geldt de plicht ook voor een werkgever die het premievraagstuk al lang geleden heeft opgelost.</w:t>
      </w:r>
    </w:p>
    <w:p>
      <w:pPr>
        <w:spacing w:after="140" w:line="300"/>
      </w:pPr>
      <w:r>
        <w:rPr>
          <w:rFonts w:ascii="Calibri" w:cs="Calibri" w:eastAsia="Calibri" w:hAnsi="Calibri"/>
          <w:b w:val="false"/>
          <w:bCs w:val="false"/>
          <w:i w:val="false"/>
          <w:iCs w:val="false"/>
          <w:sz w:val="22"/>
          <w:szCs w:val="22"/>
        </w:rPr>
        <w:t xml:space="preserve">d. Ja, opgesteld door de sociale partners, met de voorgeschreven berekeningen van de transitie-effecten.</w:t>
      </w:r>
    </w:p>
    <w:p>
      <w:pPr>
        <w:spacing w:after="140" w:line="300"/>
      </w:pPr>
      <w:r>
        <w:rPr>
          <w:rFonts w:ascii="Calibri" w:cs="Calibri" w:eastAsia="Calibri" w:hAnsi="Calibri"/>
          <w:b w:val="false"/>
          <w:bCs w:val="false"/>
          <w:i w:val="false"/>
          <w:iCs w:val="false"/>
          <w:sz w:val="22"/>
          <w:szCs w:val="22"/>
        </w:rPr>
        <w:t xml:space="preserve">Casus c is de valkuil: werkgevers met een vlakke premie denken dat zij buiten schot blijven. Dat is precies de “soort C”-niet-conformiteit uit deel 5.</w:t>
      </w:r>
    </w:p>
    <w:p>
      <w:pPr>
        <w:spacing w:after="100"/>
      </w:pPr>
    </w:p>
    <w:p>
      <w:pPr>
        <w:pStyle w:val="Heading2"/>
        <w:spacing w:after="120" w:before="200"/>
      </w:pPr>
      <w:r>
        <w:rPr>
          <w:rFonts w:ascii="Georgia" w:cs="Georgia" w:eastAsia="Georgia" w:hAnsi="Georgia"/>
          <w:b/>
          <w:bCs/>
          <w:color w:val="2563A8"/>
          <w:sz w:val="28"/>
          <w:szCs w:val="28"/>
        </w:rPr>
        <w:t xml:space="preserve">Opdracht 7.2 — Het compensatievenster rekenen *</w:t>
      </w:r>
    </w:p>
    <w:p>
      <w:pPr>
        <w:spacing w:after="140" w:line="300"/>
      </w:pPr>
      <w:r>
        <w:rPr>
          <w:rFonts w:ascii="Calibri" w:cs="Calibri" w:eastAsia="Calibri" w:hAnsi="Calibri"/>
          <w:b w:val="false"/>
          <w:bCs w:val="false"/>
          <w:i w:val="false"/>
          <w:iCs w:val="false"/>
          <w:sz w:val="22"/>
          <w:szCs w:val="22"/>
        </w:rPr>
        <w:t xml:space="preserve">De aanvullende fiscale ruimte bedraagt drie procentpunt en loopt tot uiterlijk 1 januari 2037.</w:t>
      </w:r>
    </w:p>
    <w:p>
      <w:pPr>
        <w:spacing w:after="140" w:line="300"/>
      </w:pPr>
      <w:r>
        <w:rPr>
          <w:rFonts w:ascii="Calibri" w:cs="Calibri" w:eastAsia="Calibri" w:hAnsi="Calibri"/>
          <w:b w:val="false"/>
          <w:bCs w:val="false"/>
          <w:i w:val="false"/>
          <w:iCs w:val="false"/>
          <w:sz w:val="22"/>
          <w:szCs w:val="22"/>
        </w:rPr>
        <w:t xml:space="preserve">a. Hoeveel jaar compensatieruimte heeft een werkgever die per 1 januari 2027 overstapt?</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b. En per 1 januari 2028?</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c. Van Doorn heeft een loonsom waarvan de pensioengrondslag € 3.400.000 bedraagt. Wat is het verschil in totale fiscaal gefaciliteerde compensatieruimte tussen a en b, als de volledige drie procentpunt zou worden benut?</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d. Wat zeg je hierover tegen Ferdi, in één zin?</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w:t>
            </w:r>
          </w:p>
        </w:tc>
      </w:tr>
    </w:tbl>
    <w:p>
      <w:pPr>
        <w:spacing w:after="140" w:line="300"/>
      </w:pPr>
      <w:r>
        <w:rPr>
          <w:rFonts w:ascii="Calibri" w:cs="Calibri" w:eastAsia="Calibri" w:hAnsi="Calibri"/>
          <w:b w:val="false"/>
          <w:bCs w:val="false"/>
          <w:i w:val="false"/>
          <w:iCs w:val="false"/>
          <w:sz w:val="22"/>
          <w:szCs w:val="22"/>
        </w:rPr>
        <w:t xml:space="preserve">a. Tien jaar (2027 tot en met 2036).</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b. Negen jaar.</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c. Drie procent van € 3.400.000 is € 102.000 per jaar. Tien jaar is € 1.020.000; negen jaar is € 918.000. Verschil: </w:t>
      </w:r>
      <w:r>
        <w:rPr>
          <w:rFonts w:ascii="Calibri" w:cs="Calibri" w:eastAsia="Calibri" w:hAnsi="Calibri"/>
          <w:b/>
          <w:bCs/>
          <w:i w:val="false"/>
          <w:iCs w:val="false"/>
          <w:sz w:val="22"/>
          <w:szCs w:val="22"/>
        </w:rPr>
        <w:t xml:space="preserve">€ 102.000</w:t>
      </w:r>
      <w:r>
        <w:rPr>
          <w:rFonts w:ascii="Calibri" w:cs="Calibri" w:eastAsia="Calibri" w:hAnsi="Calibri"/>
          <w:b w:val="false"/>
          <w:bCs w:val="false"/>
          <w:i w:val="false"/>
          <w:iCs w:val="false"/>
          <w:sz w:val="22"/>
          <w:szCs w:val="22"/>
        </w:rPr>
        <w:t xml:space="preserve"> aan fiscaal gefaciliteerde ruimte, die door één jaar uitstel vervalt.</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d. Bijvoorbeeld: “Elk jaar dat je wacht kost je ongeveer een ton aan fiscale ruimte om je oudere medewerkers te compenseren — die datum in 2037 schuift niet mee.”</w:t>
      </w:r>
    </w:p>
    <w:p>
      <w:pPr>
        <w:spacing w:after="140" w:line="300"/>
      </w:pPr>
      <w:r>
        <w:rPr>
          <w:rFonts w:ascii="Calibri" w:cs="Calibri" w:eastAsia="Calibri" w:hAnsi="Calibri"/>
          <w:b w:val="false"/>
          <w:bCs w:val="false"/>
          <w:i w:val="false"/>
          <w:iCs w:val="false"/>
          <w:sz w:val="22"/>
          <w:szCs w:val="22"/>
        </w:rPr>
        <w:t xml:space="preserve">Let op de formulering in d: het gaat om </w:t>
      </w:r>
      <w:r>
        <w:rPr>
          <w:rFonts w:ascii="Calibri" w:cs="Calibri" w:eastAsia="Calibri" w:hAnsi="Calibri"/>
          <w:b w:val="false"/>
          <w:bCs w:val="false"/>
          <w:i/>
          <w:iCs/>
          <w:sz w:val="22"/>
          <w:szCs w:val="22"/>
        </w:rPr>
        <w:t xml:space="preserve">ruimte</w:t>
      </w:r>
      <w:r>
        <w:rPr>
          <w:rFonts w:ascii="Calibri" w:cs="Calibri" w:eastAsia="Calibri" w:hAnsi="Calibri"/>
          <w:b w:val="false"/>
          <w:bCs w:val="false"/>
          <w:i w:val="false"/>
          <w:iCs w:val="false"/>
          <w:sz w:val="22"/>
          <w:szCs w:val="22"/>
        </w:rPr>
        <w:t xml:space="preserve">, niet om een verplichte uitgave. Wie zegt “het kost je een ton” zonder die nuance, overdrijft — en dat merkt een directeur.</w:t>
      </w:r>
    </w:p>
    <w:p>
      <w:pPr>
        <w:spacing w:after="100"/>
      </w:pPr>
    </w:p>
    <w:p>
      <w:pPr>
        <w:pStyle w:val="Heading2"/>
        <w:spacing w:after="120" w:before="200"/>
      </w:pPr>
      <w:r>
        <w:rPr>
          <w:rFonts w:ascii="Georgia" w:cs="Georgia" w:eastAsia="Georgia" w:hAnsi="Georgia"/>
          <w:b/>
          <w:bCs/>
          <w:color w:val="2563A8"/>
          <w:sz w:val="28"/>
          <w:szCs w:val="28"/>
        </w:rPr>
        <w:t xml:space="preserve">Opdracht 7.3 — De zeven vragen toepassen</w:t>
      </w:r>
    </w:p>
    <w:p>
      <w:pPr>
        <w:spacing w:after="140" w:line="300"/>
      </w:pPr>
      <w:r>
        <w:rPr>
          <w:rFonts w:ascii="Calibri" w:cs="Calibri" w:eastAsia="Calibri" w:hAnsi="Calibri"/>
          <w:b w:val="false"/>
          <w:bCs w:val="false"/>
          <w:i w:val="false"/>
          <w:iCs w:val="false"/>
          <w:sz w:val="22"/>
          <w:szCs w:val="22"/>
        </w:rPr>
        <w:t xml:space="preserve">Beoordeel het volgende voorstel met de zeven vragen uit paragraaf 7.8.</w:t>
      </w:r>
    </w:p>
    <w:tbl>
      <w:tblPr>
        <w:tblW w:type="pct" w:w="100%"/>
        <w:tblBorders>
          <w:top w:val="single" w:color="F2F2F2" w:sz="2"/>
          <w:left w:val="single" w:color="2563A8" w:sz="36"/>
          <w:bottom w:val="single" w:color="F2F2F2" w:sz="2"/>
          <w:right w:val="single" w:color="F2F2F2" w:sz="2"/>
          <w:insideH w:val="single" w:color="auto" w:sz="4"/>
          <w:insideV w:val="single" w:color="auto" w:sz="4"/>
        </w:tblBorders>
      </w:tblPr>
      <w:tblGrid>
        <w:gridCol w:w="100"/>
      </w:tblGrid>
      <w:tr>
        <w:tc>
          <w:tcPr>
            <w:shd w:fill="F2F2F2" w:color="auto" w:val="clear"/>
            <w:tcMar>
              <w:top w:type="dxa" w:w="160"/>
              <w:left w:type="dxa" w:w="220"/>
              <w:bottom w:type="dxa" w:w="160"/>
              <w:right w:type="dxa" w:w="220"/>
            </w:tcMar>
          </w:tcPr>
          <w:p>
            <w:pPr>
              <w:spacing w:after="100" w:line="280"/>
            </w:pPr>
            <w:r>
              <w:rPr>
                <w:rFonts w:ascii="Calibri" w:cs="Calibri" w:eastAsia="Calibri" w:hAnsi="Calibri"/>
                <w:i/>
                <w:iCs/>
                <w:sz w:val="22"/>
                <w:szCs w:val="22"/>
              </w:rPr>
              <w:t xml:space="preserve">“Alle medewerkers die op 1 januari 2027 45 jaar of ouder zijn, ontvangen tot 2037 een extra premie van 3% bovenop de reguliere 15%. Financiering uit de aanvullende fiscale ruimte.”</w:t>
            </w:r>
          </w:p>
        </w:tc>
      </w:tr>
    </w:tbl>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w:t>
            </w:r>
          </w:p>
        </w:tc>
      </w:tr>
    </w:tbl>
    <w:p>
      <w:pPr>
        <w:pStyle w:val="ListParagraph"/>
        <w:numPr>
          <w:ilvl w:val="0"/>
          <w:numId w:val="1"/>
        </w:numPr>
        <w:spacing w:after="80"/>
      </w:pPr>
      <w:r>
        <w:rPr>
          <w:rFonts w:ascii="Calibri" w:cs="Calibri" w:eastAsia="Calibri" w:hAnsi="Calibri"/>
          <w:sz w:val="22"/>
          <w:szCs w:val="22"/>
        </w:rPr>
        <w:t xml:space="preserve">1. Welk nadeel? Niet benoemd. Er is geen berekening waaruit blijkt hoe groot het nadeel per groep is. Het voorstel is een geste, geen compensatie.</w:t>
      </w:r>
    </w:p>
    <w:p>
      <w:pPr>
        <w:pStyle w:val="ListParagraph"/>
        <w:numPr>
          <w:ilvl w:val="0"/>
          <w:numId w:val="1"/>
        </w:numPr>
        <w:spacing w:after="80"/>
      </w:pPr>
      <w:r>
        <w:rPr>
          <w:rFonts w:ascii="Calibri" w:cs="Calibri" w:eastAsia="Calibri" w:hAnsi="Calibri"/>
          <w:sz w:val="22"/>
          <w:szCs w:val="22"/>
        </w:rPr>
        <w:t xml:space="preserve">2. Welke groep? 45-plus. De grens is niet onderbouwd. Bovendien: is er nadeel vanaf 45, of pas vanaf de leeftijd waarop de staffel boven de 15% uitkwam? Dat kan bijvoorbeeld pas rond 47 zijn — of al bij 42.</w:t>
      </w:r>
    </w:p>
    <w:p>
      <w:pPr>
        <w:pStyle w:val="ListParagraph"/>
        <w:numPr>
          <w:ilvl w:val="0"/>
          <w:numId w:val="1"/>
        </w:numPr>
        <w:spacing w:after="80"/>
      </w:pPr>
      <w:r>
        <w:rPr>
          <w:rFonts w:ascii="Calibri" w:cs="Calibri" w:eastAsia="Calibri" w:hAnsi="Calibri"/>
          <w:sz w:val="22"/>
          <w:szCs w:val="22"/>
        </w:rPr>
        <w:t xml:space="preserve">3. Hoe hoog en hoe lang? 3% tot 2037, gelijk voor iedereen in de groep. Maar het nadeel is niet gelijk: een 60-jarige verliest meer per jaar dan een 46-jarige én heeft minder jaren om het goed te maken. Een vlak compensatiepercentage over een ongelijk nadeel is zelden evenwichtig.</w:t>
      </w:r>
    </w:p>
    <w:p>
      <w:pPr>
        <w:pStyle w:val="ListParagraph"/>
        <w:numPr>
          <w:ilvl w:val="0"/>
          <w:numId w:val="1"/>
        </w:numPr>
        <w:spacing w:after="80"/>
      </w:pPr>
      <w:r>
        <w:rPr>
          <w:rFonts w:ascii="Calibri" w:cs="Calibri" w:eastAsia="Calibri" w:hAnsi="Calibri"/>
          <w:sz w:val="22"/>
          <w:szCs w:val="22"/>
        </w:rPr>
        <w:t xml:space="preserve">4. Hoe gefinancierd? Uit de aanvullende ruimte; benut het maximum. Vraag: wat gebeurt er als de reguliere premie later moet stijgen — is er dan nog ruimte?</w:t>
      </w:r>
    </w:p>
    <w:p>
      <w:pPr>
        <w:pStyle w:val="ListParagraph"/>
        <w:numPr>
          <w:ilvl w:val="0"/>
          <w:numId w:val="1"/>
        </w:numPr>
        <w:spacing w:after="80"/>
      </w:pPr>
      <w:r>
        <w:rPr>
          <w:rFonts w:ascii="Calibri" w:cs="Calibri" w:eastAsia="Calibri" w:hAnsi="Calibri"/>
          <w:sz w:val="22"/>
          <w:szCs w:val="22"/>
        </w:rPr>
        <w:t xml:space="preserve">5. Bij vertrek? Niet geregeld. Compensatie moet tijdsevenredig worden toegekend; hier staat niets over iemand die in 2031 vertrekt.</w:t>
      </w:r>
    </w:p>
    <w:p>
      <w:pPr>
        <w:pStyle w:val="ListParagraph"/>
        <w:numPr>
          <w:ilvl w:val="0"/>
          <w:numId w:val="1"/>
        </w:numPr>
        <w:spacing w:after="80"/>
      </w:pPr>
      <w:r>
        <w:rPr>
          <w:rFonts w:ascii="Calibri" w:cs="Calibri" w:eastAsia="Calibri" w:hAnsi="Calibri"/>
          <w:sz w:val="22"/>
          <w:szCs w:val="22"/>
        </w:rPr>
        <w:t xml:space="preserve">6. Na 2037? Niet geregeld. Loopt de compensatie hard af, en wat betekent dat voor wie dan nog acht jaar te gaan heeft?</w:t>
      </w:r>
    </w:p>
    <w:p>
      <w:pPr>
        <w:pStyle w:val="ListParagraph"/>
        <w:numPr>
          <w:ilvl w:val="0"/>
          <w:numId w:val="1"/>
        </w:numPr>
        <w:spacing w:after="80"/>
      </w:pPr>
      <w:r>
        <w:rPr>
          <w:rFonts w:ascii="Calibri" w:cs="Calibri" w:eastAsia="Calibri" w:hAnsi="Calibri"/>
          <w:sz w:val="22"/>
          <w:szCs w:val="22"/>
        </w:rPr>
        <w:t xml:space="preserve">7. Onderbouwing evenwichtigheid? Ontbreekt volledig.</w:t>
      </w:r>
    </w:p>
    <w:p>
      <w:pPr>
        <w:spacing w:after="140" w:line="300"/>
      </w:pPr>
      <w:r>
        <w:rPr>
          <w:rFonts w:ascii="Calibri" w:cs="Calibri" w:eastAsia="Calibri" w:hAnsi="Calibri"/>
          <w:b w:val="false"/>
          <w:bCs w:val="false"/>
          <w:i w:val="false"/>
          <w:iCs w:val="false"/>
          <w:sz w:val="22"/>
          <w:szCs w:val="22"/>
        </w:rPr>
        <w:t xml:space="preserve">Eindoordeel: dit is geen compensatievoorstel maar een compensatiebedrag. Het kan de uitkomst zijn van een goed traject, maar dan moet de redenering erbij.</w:t>
      </w:r>
    </w:p>
    <w:p>
      <w:pPr>
        <w:spacing w:after="100"/>
      </w:pPr>
    </w:p>
    <w:p>
      <w:pPr>
        <w:pStyle w:val="Heading2"/>
        <w:spacing w:after="120" w:before="200"/>
      </w:pPr>
      <w:r>
        <w:rPr>
          <w:rFonts w:ascii="Georgia" w:cs="Georgia" w:eastAsia="Georgia" w:hAnsi="Georgia"/>
          <w:b/>
          <w:bCs/>
          <w:color w:val="2563A8"/>
          <w:sz w:val="28"/>
          <w:szCs w:val="28"/>
        </w:rPr>
        <w:t xml:space="preserve">Opdracht 7.4 — De drie begrippen scheiden</w:t>
      </w:r>
    </w:p>
    <w:p>
      <w:pPr>
        <w:spacing w:after="140" w:line="300"/>
      </w:pPr>
      <w:r>
        <w:rPr>
          <w:rFonts w:ascii="Calibri" w:cs="Calibri" w:eastAsia="Calibri" w:hAnsi="Calibri"/>
          <w:b w:val="false"/>
          <w:bCs w:val="false"/>
          <w:i w:val="false"/>
          <w:iCs w:val="false"/>
          <w:sz w:val="22"/>
          <w:szCs w:val="22"/>
        </w:rPr>
        <w:t xml:space="preserve">Welk begrip is in het geding: evenwichtigheid, adequaatheid of kostenneutraliteit?</w:t>
      </w:r>
    </w:p>
    <w:p>
      <w:pPr>
        <w:spacing w:after="140" w:line="300"/>
      </w:pPr>
      <w:r>
        <w:rPr>
          <w:rFonts w:ascii="Calibri" w:cs="Calibri" w:eastAsia="Calibri" w:hAnsi="Calibri"/>
          <w:b w:val="false"/>
          <w:bCs w:val="false"/>
          <w:i w:val="false"/>
          <w:iCs w:val="false"/>
          <w:sz w:val="22"/>
          <w:szCs w:val="22"/>
        </w:rPr>
        <w:t xml:space="preserve">a. De compensatie voor de 55-plussers wordt gefinancierd door de premie voor alle andere deelnemers een half procentpunt te verlagen.</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b. De 55-plussers krijgen 1% extra premie, terwijl hun berekende nadeel neerkomt op ongeveer 6%.</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c. De compensatie geldt alleen voor medewerkers met een vast contract; de flexibele schil krijgt niets.</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d. De compensatie wordt betaald uit een vrijval in de voorziening voor een andere arbeidsvoorwaarde.</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a: evenwichtigheid — één groep betaalt voor een andere; adequaatheid kan prima zijn. b: adequaatheid — de verdeling kan kloppen, de omvang niet. c: evenwichtigheid — het onderscheid moet worden gerechtvaardigd. d: kostenneutraliteit, en mogelijk ook een arbeidsrechtelijk probleem.</w:t>
            </w:r>
          </w:p>
        </w:tc>
      </w:tr>
    </w:tbl>
    <w:p>
      <w:pPr>
        <w:spacing w:after="140" w:line="300"/>
      </w:pPr>
      <w:r>
        <w:rPr>
          <w:rFonts w:ascii="Calibri" w:cs="Calibri" w:eastAsia="Calibri" w:hAnsi="Calibri"/>
          <w:b w:val="false"/>
          <w:bCs w:val="false"/>
          <w:i w:val="false"/>
          <w:iCs w:val="false"/>
          <w:sz w:val="22"/>
          <w:szCs w:val="22"/>
        </w:rPr>
        <w:t xml:space="preserve">Vervolgvraag om over na te denken: welke van deze vier zou een deelnemer zelf opmerken? Vrijwel alleen c. Dat is precies de reden dat de andere drie in het transitieplan expliciet moeten worden verantwoord — niemand anders controleert ze.</w:t>
      </w:r>
    </w:p>
    <w:p>
      <w:pPr>
        <w:spacing w:after="100"/>
      </w:pPr>
    </w:p>
    <w:p>
      <w:pPr>
        <w:pStyle w:val="Heading2"/>
        <w:spacing w:after="120" w:before="200"/>
      </w:pPr>
      <w:r>
        <w:rPr>
          <w:rFonts w:ascii="Georgia" w:cs="Georgia" w:eastAsia="Georgia" w:hAnsi="Georgia"/>
          <w:b/>
          <w:bCs/>
          <w:color w:val="2563A8"/>
          <w:sz w:val="28"/>
          <w:szCs w:val="28"/>
        </w:rPr>
        <w:t xml:space="preserve">Opdracht 7.5 — De drie vragen van de OR</w:t>
      </w:r>
    </w:p>
    <w:p>
      <w:pPr>
        <w:spacing w:after="140" w:line="300"/>
      </w:pPr>
      <w:r>
        <w:rPr>
          <w:rFonts w:ascii="Calibri" w:cs="Calibri" w:eastAsia="Calibri" w:hAnsi="Calibri"/>
          <w:b w:val="false"/>
          <w:bCs w:val="false"/>
          <w:i w:val="false"/>
          <w:iCs w:val="false"/>
          <w:sz w:val="22"/>
          <w:szCs w:val="22"/>
        </w:rPr>
        <w:t xml:space="preserve">Ilse Groenewold stelt: waarom ligt de grens bij 45; wat gebeurt er bij vertrek in 2030; en waarom is de compensatie niet volledig?</w:t>
      </w:r>
    </w:p>
    <w:p>
      <w:pPr>
        <w:spacing w:after="140" w:line="300"/>
      </w:pPr>
      <w:r>
        <w:rPr>
          <w:rFonts w:ascii="Calibri" w:cs="Calibri" w:eastAsia="Calibri" w:hAnsi="Calibri"/>
          <w:b w:val="false"/>
          <w:bCs w:val="false"/>
          <w:i w:val="false"/>
          <w:iCs w:val="false"/>
          <w:sz w:val="22"/>
          <w:szCs w:val="22"/>
        </w:rPr>
        <w:t xml:space="preserve">Formuleer per vraag een antwoord van maximaal drie zinnen, zonder te ontwijken.</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(voorbeelden).</w:t>
            </w:r>
          </w:p>
        </w:tc>
      </w:tr>
    </w:tbl>
    <w:p>
      <w:pPr>
        <w:spacing w:after="140" w:line="300"/>
      </w:pPr>
      <w:r>
        <w:rPr>
          <w:rFonts w:ascii="Calibri" w:cs="Calibri" w:eastAsia="Calibri" w:hAnsi="Calibri"/>
          <w:b w:val="false"/>
          <w:bCs w:val="false"/>
          <w:i/>
          <w:iCs/>
          <w:sz w:val="22"/>
          <w:szCs w:val="22"/>
        </w:rPr>
        <w:t xml:space="preserve">Leeftijdsgrens.</w:t>
      </w:r>
      <w:r>
        <w:rPr>
          <w:rFonts w:ascii="Calibri" w:cs="Calibri" w:eastAsia="Calibri" w:hAnsi="Calibri"/>
          <w:b w:val="false"/>
          <w:bCs w:val="false"/>
          <w:i w:val="false"/>
          <w:iCs w:val="false"/>
          <w:sz w:val="22"/>
          <w:szCs w:val="22"/>
        </w:rPr>
        <w:t xml:space="preserve"> “De grens ligt op het punt waar de oude staffel boven de nieuwe vlakke premie uitkwam; onder die leeftijd gaat iedereen erop vooruit. Ik kan je de berekening laten zien waarop die grens is gebaseerd. Als jullie een andere grens verdedigbaarder vinden, moeten we dat nu bespreken, want het moet in het transitieplan worden onderbouwd.”</w:t>
      </w:r>
    </w:p>
    <w:p>
      <w:pPr>
        <w:spacing w:after="140" w:line="300"/>
      </w:pPr>
      <w:r>
        <w:rPr>
          <w:rFonts w:ascii="Calibri" w:cs="Calibri" w:eastAsia="Calibri" w:hAnsi="Calibri"/>
          <w:b w:val="false"/>
          <w:bCs w:val="false"/>
          <w:i/>
          <w:iCs/>
          <w:sz w:val="22"/>
          <w:szCs w:val="22"/>
        </w:rPr>
        <w:t xml:space="preserve">Vertrek in 2030.</w:t>
      </w:r>
      <w:r>
        <w:rPr>
          <w:rFonts w:ascii="Calibri" w:cs="Calibri" w:eastAsia="Calibri" w:hAnsi="Calibri"/>
          <w:b w:val="false"/>
          <w:bCs w:val="false"/>
          <w:i w:val="false"/>
          <w:iCs w:val="false"/>
          <w:sz w:val="22"/>
          <w:szCs w:val="22"/>
        </w:rPr>
        <w:t xml:space="preserve"> “De compensatie wordt tijdsevenredig toegekend: wat tot het vertrekmoment is opgebouwd, blijft van de deelnemer. Wat daarna zou zijn toegekend, vervalt. Dat is geen keuze van ons maar een voorwaarde die aan de fiscale ruimte hangt.”</w:t>
      </w:r>
    </w:p>
    <w:p>
      <w:pPr>
        <w:spacing w:after="140" w:line="300"/>
      </w:pPr>
      <w:r>
        <w:rPr>
          <w:rFonts w:ascii="Calibri" w:cs="Calibri" w:eastAsia="Calibri" w:hAnsi="Calibri"/>
          <w:b w:val="false"/>
          <w:bCs w:val="false"/>
          <w:i/>
          <w:iCs/>
          <w:sz w:val="22"/>
          <w:szCs w:val="22"/>
        </w:rPr>
        <w:t xml:space="preserve">Niet volledig.</w:t>
      </w:r>
      <w:r>
        <w:rPr>
          <w:rFonts w:ascii="Calibri" w:cs="Calibri" w:eastAsia="Calibri" w:hAnsi="Calibri"/>
          <w:b w:val="false"/>
          <w:bCs w:val="false"/>
          <w:i w:val="false"/>
          <w:iCs w:val="false"/>
          <w:sz w:val="22"/>
          <w:szCs w:val="22"/>
        </w:rPr>
        <w:t xml:space="preserve"> “Volledige compensatie zou meer fiscale ruimte vragen dan er is, en de rest zou uit de reguliere premie voor alle collega’s moeten komen. We hebben gekozen voor een uitkomst die het scherpste nadeel dempt en die we tegenover alle groepen kunnen verdedigen. Ik ga niet doen alsof niemand erop achteruitgaat.”</w:t>
      </w:r>
    </w:p>
    <w:p>
      <w:pPr>
        <w:spacing w:after="140" w:line="300"/>
      </w:pPr>
      <w:r>
        <w:rPr>
          <w:rFonts w:ascii="Calibri" w:cs="Calibri" w:eastAsia="Calibri" w:hAnsi="Calibri"/>
          <w:b w:val="false"/>
          <w:bCs w:val="false"/>
          <w:i w:val="false"/>
          <w:iCs w:val="false"/>
          <w:sz w:val="22"/>
          <w:szCs w:val="22"/>
        </w:rPr>
        <w:t xml:space="preserve">Beoordelingslijn: geen enkel antwoord mag beginnen met “de wet schrijft voor dat”. Alle drie de vragen gaan over keuzes, niet over voorschriften. Wie zich achter de wet verschuilt, verliest de OR — en heeft in dit geval ook nog ongelijk.</w:t>
      </w:r>
    </w:p>
    <w:p>
      <w:pPr>
        <w:spacing w:after="100"/>
      </w:pPr>
    </w:p>
    <w:p>
      <w:pPr>
        <w:pStyle w:val="Heading2"/>
        <w:spacing w:after="120" w:before="200"/>
      </w:pPr>
      <w:r>
        <w:rPr>
          <w:rFonts w:ascii="Georgia" w:cs="Georgia" w:eastAsia="Georgia" w:hAnsi="Georgia"/>
          <w:b/>
          <w:bCs/>
          <w:color w:val="2563A8"/>
          <w:sz w:val="28"/>
          <w:szCs w:val="28"/>
        </w:rPr>
        <w:t xml:space="preserve">Opdracht 7.6 — De tijdlijn opnieuw</w:t>
      </w:r>
    </w:p>
    <w:p>
      <w:pPr>
        <w:spacing w:after="140" w:line="300"/>
      </w:pPr>
      <w:r>
        <w:rPr>
          <w:rFonts w:ascii="Calibri" w:cs="Calibri" w:eastAsia="Calibri" w:hAnsi="Calibri"/>
          <w:b w:val="false"/>
          <w:bCs w:val="false"/>
          <w:i w:val="false"/>
          <w:iCs w:val="false"/>
          <w:sz w:val="22"/>
          <w:szCs w:val="22"/>
        </w:rPr>
        <w:t xml:space="preserve">Ferdi wil in november 2026 beginnen met het compensatiegesprek, met ingang van de nieuwe regeling per 1 januari 2027.</w:t>
      </w:r>
    </w:p>
    <w:p>
      <w:pPr>
        <w:spacing w:after="140" w:line="300"/>
      </w:pPr>
      <w:r>
        <w:rPr>
          <w:rFonts w:ascii="Calibri" w:cs="Calibri" w:eastAsia="Calibri" w:hAnsi="Calibri"/>
          <w:b w:val="false"/>
          <w:bCs w:val="false"/>
          <w:i w:val="false"/>
          <w:iCs w:val="false"/>
          <w:sz w:val="22"/>
          <w:szCs w:val="22"/>
        </w:rPr>
        <w:t xml:space="preserve">a. Noem drie dingen die op dat moment al te laat zijn.</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b. Welk alternatief scenario is er dan nog?</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c. Wat kost dat alternatief?</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w:t>
            </w:r>
          </w:p>
        </w:tc>
      </w:tr>
    </w:tbl>
    <w:p>
      <w:pPr>
        <w:spacing w:after="140" w:line="300"/>
      </w:pPr>
      <w:r>
        <w:rPr>
          <w:rFonts w:ascii="Calibri" w:cs="Calibri" w:eastAsia="Calibri" w:hAnsi="Calibri"/>
          <w:b w:val="false"/>
          <w:bCs w:val="false"/>
          <w:i w:val="false"/>
          <w:iCs w:val="false"/>
          <w:sz w:val="22"/>
          <w:szCs w:val="22"/>
        </w:rPr>
        <w:t xml:space="preserve">a. De opzegtermijn van 30 juni 2026 is verstreken, dus het contract is stilzwijgend verlengd. Het transitieplan had er moeten liggen. Het OR-traject kan niet zorgvuldig in zes weken. En de uitvoerder heeft geen implementatieslot meer beschikbaar voor 1 januari.</w:t>
      </w:r>
    </w:p>
    <w:p>
      <w:pPr>
        <w:spacing w:after="140" w:line="300"/>
      </w:pPr>
      <w:r>
        <w:rPr>
          <w:rFonts w:ascii="Calibri" w:cs="Calibri" w:eastAsia="Calibri" w:hAnsi="Calibri"/>
          <w:b w:val="false"/>
          <w:bCs w:val="false"/>
          <w:i w:val="false"/>
          <w:iCs w:val="false"/>
          <w:sz w:val="22"/>
          <w:szCs w:val="22"/>
        </w:rPr>
        <w:t xml:space="preserve">b. Doorschuiven naar 1 januari 2028 — de uiterste datum. Dan is er een jaar om het traject alsnog goed te doen, maar zonder enige marge.</w:t>
      </w:r>
    </w:p>
    <w:p>
      <w:pPr>
        <w:spacing w:after="140" w:line="300"/>
      </w:pPr>
      <w:r>
        <w:rPr>
          <w:rFonts w:ascii="Calibri" w:cs="Calibri" w:eastAsia="Calibri" w:hAnsi="Calibri"/>
          <w:b w:val="false"/>
          <w:bCs w:val="false"/>
          <w:i w:val="false"/>
          <w:iCs w:val="false"/>
          <w:sz w:val="22"/>
          <w:szCs w:val="22"/>
        </w:rPr>
        <w:t xml:space="preserve">c. Een jaar compensatieruimte (zie opdracht 7.2), een jaar langer met een niet-conforme regeling, en een traject dat in het drukste jaar van de hele markt moet worden uitgevoerd. Plus het risico dat een vertraging in het OR-traject nu meteen fataal is, omdat er geen uitwijkjaar meer achter zit.</w:t>
      </w:r>
    </w:p>
    <w:p>
      <w:pPr>
        <w:spacing w:after="100"/>
      </w:pPr>
    </w:p>
    <w:p>
      <w:pPr>
        <w:pStyle w:val="Heading2"/>
        <w:spacing w:after="120" w:before="200"/>
      </w:pPr>
      <w:r>
        <w:rPr>
          <w:rFonts w:ascii="Georgia" w:cs="Georgia" w:eastAsia="Georgia" w:hAnsi="Georgia"/>
          <w:b/>
          <w:bCs/>
          <w:color w:val="2563A8"/>
          <w:sz w:val="28"/>
          <w:szCs w:val="28"/>
        </w:rPr>
        <w:t xml:space="preserve">Opdracht 7.7 — Fonds versus verzekerd</w:t>
      </w:r>
    </w:p>
    <w:p>
      <w:pPr>
        <w:spacing w:after="140" w:line="300"/>
      </w:pPr>
      <w:r>
        <w:rPr>
          <w:rFonts w:ascii="Calibri" w:cs="Calibri" w:eastAsia="Calibri" w:hAnsi="Calibri"/>
          <w:b w:val="false"/>
          <w:bCs w:val="false"/>
          <w:i w:val="false"/>
          <w:iCs w:val="false"/>
          <w:sz w:val="22"/>
          <w:szCs w:val="22"/>
        </w:rPr>
        <w:t xml:space="preserve">Noem drie instrumenten die een pensioenfonds heeft bij het opvangen van transitie-effecten en die een werkgever met een verzekerde regeling niet heeft.</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De inrichting van de omzetting zelf bij invaren (de manier waarop bestaande aanspraken worden vertaald naar persoonlijke vermogens); de solidariteits- of risicodelingsreserve als bufferinstrument; en het collectieve vermogen waarin, binnen de grenzen van evenwichtigheid, kan worden herverdeeld.</w:t>
            </w:r>
          </w:p>
        </w:tc>
      </w:tr>
    </w:tbl>
    <w:p>
      <w:pPr>
        <w:spacing w:after="140" w:line="300"/>
      </w:pPr>
      <w:r>
        <w:rPr>
          <w:rFonts w:ascii="Calibri" w:cs="Calibri" w:eastAsia="Calibri" w:hAnsi="Calibri"/>
          <w:b w:val="false"/>
          <w:bCs w:val="false"/>
          <w:i w:val="false"/>
          <w:iCs w:val="false"/>
          <w:sz w:val="22"/>
          <w:szCs w:val="22"/>
        </w:rPr>
        <w:t xml:space="preserve">Aanvullend te noemen: het fonds heeft een langere horizon en geen contractexpiratie, waardoor het transitiemoment op inhoudelijke gronden kan worden gekozen in plaats van op contractuele.</w:t>
      </w:r>
    </w:p>
    <w:p>
      <w:pPr>
        <w:spacing w:after="140" w:line="300"/>
      </w:pPr>
      <w:r>
        <w:rPr>
          <w:rFonts w:ascii="Calibri" w:cs="Calibri" w:eastAsia="Calibri" w:hAnsi="Calibri"/>
          <w:b w:val="false"/>
          <w:bCs w:val="false"/>
          <w:i w:val="false"/>
          <w:iCs w:val="false"/>
          <w:sz w:val="22"/>
          <w:szCs w:val="22"/>
        </w:rPr>
        <w:t xml:space="preserve">Kernpunt voor de adviespraktijk: een werkgever met een verzekerde regeling heeft maar één echte knop — geld, nu, uit de premie. Dat maakt zijn compensatiegesprek harder en concreter dan dat van een fonds.</w:t>
      </w:r>
    </w:p>
    <w:p>
      <w:pPr>
        <w:spacing w:after="100"/>
      </w:pPr>
    </w:p>
    <w:p>
      <w:pPr>
        <w:pStyle w:val="Heading2"/>
        <w:spacing w:after="120" w:before="200"/>
      </w:pPr>
      <w:r>
        <w:rPr>
          <w:rFonts w:ascii="Georgia" w:cs="Georgia" w:eastAsia="Georgia" w:hAnsi="Georgia"/>
          <w:b/>
          <w:bCs/>
          <w:color w:val="2563A8"/>
          <w:sz w:val="28"/>
          <w:szCs w:val="28"/>
        </w:rPr>
        <w:t xml:space="preserve">Opdracht 7.8 — Je eigen dossier</w:t>
      </w:r>
    </w:p>
    <w:p>
      <w:pPr>
        <w:spacing w:after="140" w:line="300"/>
      </w:pPr>
      <w:r>
        <w:rPr>
          <w:rFonts w:ascii="Calibri" w:cs="Calibri" w:eastAsia="Calibri" w:hAnsi="Calibri"/>
          <w:b w:val="false"/>
          <w:bCs w:val="false"/>
          <w:i w:val="false"/>
          <w:iCs w:val="false"/>
          <w:sz w:val="22"/>
          <w:szCs w:val="22"/>
        </w:rPr>
        <w:t xml:space="preserve">Bepaal voor het dossier uit opdracht 6.8: is er een transitieplanplicht, en zo ja, welke van de vijf onderdelen zou je het lastigst kunnen invullen met de informatie die je nu hebt? Noteer welke gegevens je daarvoor nodig hebt en bij wie je die zou opvragen.</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Geen modelantwoord. Beoordelingscriteria: de plichtvraag is beantwoord met een motivering; het aangewezen onderdeel is bijna altijd nummer 3 (de effecten) omdat dat berekeningen vergt; en er staat concreet bij wie de gegevens vandaan moeten komen — de uitvoerder voor de bestandsgegevens, de werkgever voor de loonsom en het personeelsbeleid.</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4"/>
      </w:pBdr>
      <w:jc w:val="right"/>
    </w:pPr>
    <w:r>
      <w:rPr>
        <w:rFonts w:ascii="Calibri" w:cs="Calibri" w:eastAsia="Calibri" w:hAnsi="Calibri"/>
        <w:color w:val="2563A8"/>
        <w:sz w:val="16"/>
        <w:szCs w:val="16"/>
      </w:rPr>
      <w:t xml:space="preserve">Nederlandse pensioenverzekering · Niveau 1 — Fundament · Deel 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2026-08-17T11:22:44.078Z</dcterms:created>
  <dcterms:modified xsi:type="dcterms:W3CDTF">2026-08-17T11:22:44.078Z</dcterms:modified>
</cp:coreProperties>
</file>

<file path=docProps/custom.xml><?xml version="1.0" encoding="utf-8"?>
<Properties xmlns="http://schemas.openxmlformats.org/officeDocument/2006/custom-properties" xmlns:vt="http://schemas.openxmlformats.org/officeDocument/2006/docPropsVTypes"/>
</file>