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Docentenhandleiding — Deel 8 — Docentenhandleiding</w:t>
      </w:r>
    </w:p>
    <w:p>
      <w:pPr>
        <w:spacing w:after="300"/>
      </w:pPr>
      <w:r>
        <w:rPr>
          <w:rFonts w:ascii="Calibri" w:cs="Calibri" w:eastAsia="Calibri" w:hAnsi="Calibri"/>
          <w:i/>
          <w:iCs/>
          <w:color w:val="2563A8"/>
          <w:sz w:val="22"/>
          <w:szCs w:val="22"/>
        </w:rPr>
        <w:t xml:space="preserve">Niveau 1 — Fundament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8 — Docentenhandleiding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1 · Fundament · Eén dagdeel (3 uur inclusief pauze)</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Doel van dit dagdeel</w:t>
      </w:r>
    </w:p>
    <w:p>
      <w:pPr>
        <w:spacing w:after="140" w:line="300"/>
      </w:pPr>
      <w:r>
        <w:rPr>
          <w:rFonts w:ascii="Calibri" w:cs="Calibri" w:eastAsia="Calibri" w:hAnsi="Calibri"/>
          <w:b w:val="false"/>
          <w:bCs w:val="false"/>
          <w:i w:val="false"/>
          <w:iCs w:val="false"/>
          <w:sz w:val="22"/>
          <w:szCs w:val="22"/>
        </w:rPr>
        <w:t xml:space="preserve">Dit dagdeel heeft een ander karakter dan de vorige. De delen 5 tot en met 7 waren analytisch; dit deel is analytisch én gesprekstechnisch. Deelnemers moeten niet alleen weten wat er verandert, maar ook kunnen uitleggen wat het voor één gezin betekent.</w:t>
      </w:r>
    </w:p>
    <w:p>
      <w:pPr>
        <w:spacing w:after="140" w:line="300"/>
      </w:pPr>
      <w:r>
        <w:rPr>
          <w:rFonts w:ascii="Calibri" w:cs="Calibri" w:eastAsia="Calibri" w:hAnsi="Calibri"/>
          <w:b w:val="false"/>
          <w:bCs w:val="false"/>
          <w:i w:val="false"/>
          <w:iCs w:val="false"/>
          <w:sz w:val="22"/>
          <w:szCs w:val="22"/>
        </w:rPr>
        <w:t xml:space="preserve">Twee dingen moeten landen:</w:t>
      </w:r>
    </w:p>
    <w:p>
      <w:pPr>
        <w:pStyle w:val="ListParagraph"/>
        <w:numPr>
          <w:ilvl w:val="0"/>
          <w:numId w:val="1"/>
        </w:numPr>
        <w:spacing w:after="80"/>
      </w:pPr>
      <w:r>
        <w:rPr>
          <w:rFonts w:ascii="Calibri" w:cs="Calibri" w:eastAsia="Calibri" w:hAnsi="Calibri"/>
          <w:sz w:val="22"/>
          <w:szCs w:val="22"/>
        </w:rPr>
        <w:t xml:space="preserve">1. Het onderscheid vóór en ná de pensioendatum. Dit wordt structureel door elkaar gehaald en veroorzaakt onjuiste toezeggingen.</w:t>
      </w:r>
    </w:p>
    <w:p>
      <w:pPr>
        <w:pStyle w:val="ListParagraph"/>
        <w:numPr>
          <w:ilvl w:val="0"/>
          <w:numId w:val="1"/>
        </w:numPr>
        <w:spacing w:after="80"/>
      </w:pPr>
      <w:r>
        <w:rPr>
          <w:rFonts w:ascii="Calibri" w:cs="Calibri" w:eastAsia="Calibri" w:hAnsi="Calibri"/>
          <w:sz w:val="22"/>
          <w:szCs w:val="22"/>
        </w:rPr>
        <w:t xml:space="preserve">2. De omslag herverdeelt. Er zijn winnaars en verliezers, en de verliezers zitten in de groep waar het gesprek het moeilijkst is.</w:t>
      </w:r>
    </w:p>
    <w:p>
      <w:pPr>
        <w:spacing w:after="140" w:line="300"/>
      </w:pPr>
      <w:r>
        <w:rPr>
          <w:rFonts w:ascii="Calibri" w:cs="Calibri" w:eastAsia="Calibri" w:hAnsi="Calibri"/>
          <w:b w:val="false"/>
          <w:bCs w:val="false"/>
          <w:i w:val="false"/>
          <w:iCs w:val="false"/>
          <w:sz w:val="22"/>
          <w:szCs w:val="22"/>
        </w:rPr>
        <w:t xml:space="preserve">Behandel dit onderwerp met het gewicht dat het verdient. Het gaat over overlijden, en er zitten in vrijwel elke groep deelnemers die daar persoonlijke ervaring mee hebben. Kondig het onderwerp aan het begin rustig aan, zonder dramatiek en zonder luchtigheid.</w:t>
      </w:r>
    </w:p>
    <w:p>
      <w:pPr>
        <w:spacing w:after="100"/>
      </w:pPr>
    </w:p>
    <w:p>
      <w:pPr>
        <w:pStyle w:val="Heading2"/>
        <w:spacing w:after="120" w:before="200"/>
      </w:pPr>
      <w:r>
        <w:rPr>
          <w:rFonts w:ascii="Georgia" w:cs="Georgia" w:eastAsia="Georgia" w:hAnsi="Georgia"/>
          <w:b/>
          <w:bCs/>
          <w:color w:val="2563A8"/>
          <w:sz w:val="28"/>
          <w:szCs w:val="28"/>
        </w:rPr>
        <w:t xml:space="preserve">Tijdschema</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Werkvorm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“moet hoe dan ook om”</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0:10–0:30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oude beeld: opbouw en risico</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0:30–0:55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nieuwe kader + opdracht 8.1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figuur 8-1</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0:55–1:10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Vóór of ná de pensioendatum, opdracht 8.2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Duo’s, snel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1:10–1:25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1:25–1:55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Wie wint, wie verliest, opdracht 8.3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Drietallen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1:55–2:15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gat bij uitdiensttreding, opdracht 8.4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2:15–2:35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Arbeidsongeschiktheid, opdracht 8.5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en duo’s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2:35–2:55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gesprek met Karel, opdracht 8.6</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schrijven, twee voorlezen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2:55–3:00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Anw-hiaat, huiswerk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w:t>
            </w:r>
          </w:p>
        </w:tc>
      </w:tr>
    </w:tbl>
    <w:p>
      <w:pPr>
        <w:spacing w:after="100"/>
      </w:pPr>
    </w:p>
    <w:p>
      <w:pPr>
        <w:pStyle w:val="Heading2"/>
        <w:spacing w:after="120" w:before="200"/>
      </w:pPr>
      <w:r>
        <w:rPr>
          <w:rFonts w:ascii="Georgia" w:cs="Georgia" w:eastAsia="Georgia" w:hAnsi="Georgia"/>
          <w:b/>
          <w:bCs/>
          <w:color w:val="2563A8"/>
          <w:sz w:val="28"/>
          <w:szCs w:val="28"/>
        </w:rPr>
        <w:t xml:space="preserve">Aandachtspunten per onderdeel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Terugblik.</w:t>
      </w:r>
      <w:r>
        <w:rPr>
          <w:rFonts w:ascii="Calibri" w:cs="Calibri" w:eastAsia="Calibri" w:hAnsi="Calibri"/>
          <w:b w:val="false"/>
          <w:bCs w:val="false"/>
          <w:i w:val="false"/>
          <w:iCs w:val="false"/>
          <w:sz w:val="22"/>
          <w:szCs w:val="22"/>
        </w:rPr>
        <w:t xml:space="preserve"> Tel op hoe vaak in de vorige drie dagdelen de zin “het nabestaandenpensioen moet hoe dan ook om” is gevallen. Deelnemers herkennen dat en het legitimeert het gewicht van dit dagdeel.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Het oude beeld.</w:t>
      </w:r>
      <w:r>
        <w:rPr>
          <w:rFonts w:ascii="Calibri" w:cs="Calibri" w:eastAsia="Calibri" w:hAnsi="Calibri"/>
          <w:b w:val="false"/>
          <w:bCs w:val="false"/>
          <w:i w:val="false"/>
          <w:iCs w:val="false"/>
          <w:sz w:val="22"/>
          <w:szCs w:val="22"/>
        </w:rPr>
        <w:t xml:space="preserve"> Besteed hier echt tien minuten aan. Zonder begrip van de opbouwvariant is de herverdeling niet uit te leggen. Laat de groep zelf bedenken wie in het oude systeem een lage dekking had: dat levert vanzelf de jonge deelnemer met korte diensttijd op, en dat is de winnaar van de omslag.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Het nieuwe kader.</w:t>
      </w:r>
      <w:r>
        <w:rPr>
          <w:rFonts w:ascii="Calibri" w:cs="Calibri" w:eastAsia="Calibri" w:hAnsi="Calibri"/>
          <w:b w:val="false"/>
          <w:bCs w:val="false"/>
          <w:i w:val="false"/>
          <w:iCs w:val="false"/>
          <w:sz w:val="22"/>
          <w:szCs w:val="22"/>
        </w:rPr>
        <w:t xml:space="preserve"> Gebruik de wettelijke maxima als kader, niet als uitkomst: een regeling kan lager uitkomen dan het maximum, en dat is een arbeidsvoorwaardelijke keuze. Deelnemers gaan er soms van uit dat 50% de norm is; dat is het maximum.</w:t>
      </w:r>
    </w:p>
    <w:p>
      <w:pPr>
        <w:spacing w:after="140" w:line="300"/>
      </w:pPr>
      <w:r>
        <w:rPr>
          <w:rFonts w:ascii="Calibri" w:cs="Calibri" w:eastAsia="Calibri" w:hAnsi="Calibri"/>
          <w:b w:val="false"/>
          <w:bCs w:val="false"/>
          <w:i w:val="false"/>
          <w:iCs w:val="false"/>
          <w:sz w:val="22"/>
          <w:szCs w:val="22"/>
        </w:rPr>
        <w:t xml:space="preserve">Bij deze gelegenheid: controleer vóór de sessie de actuele maxima en de eindleeftijd van het wezenpensioen. Het kader is uitgewerkt en aangevuld met nadere uitleg vanuit de sector; ga niet op een oude reader af.</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Vóór of ná (8.2).</w:t>
      </w:r>
      <w:r>
        <w:rPr>
          <w:rFonts w:ascii="Calibri" w:cs="Calibri" w:eastAsia="Calibri" w:hAnsi="Calibri"/>
          <w:b w:val="false"/>
          <w:bCs w:val="false"/>
          <w:i w:val="false"/>
          <w:iCs w:val="false"/>
          <w:sz w:val="22"/>
          <w:szCs w:val="22"/>
        </w:rPr>
        <w:t xml:space="preserve"> Laat dit in vijf minuten doen en bespreek alleen a en b. De spiegelbeeldige fout is het leerpunt. Introduceer de gewoonte: benoem in elk gesprek altijd beide situaties apart, ook als er maar naar één wordt gevraagd.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Wie wint, wie verliest (8.3).</w:t>
      </w:r>
      <w:r>
        <w:rPr>
          <w:rFonts w:ascii="Calibri" w:cs="Calibri" w:eastAsia="Calibri" w:hAnsi="Calibri"/>
          <w:b w:val="false"/>
          <w:bCs w:val="false"/>
          <w:i w:val="false"/>
          <w:iCs w:val="false"/>
          <w:sz w:val="22"/>
          <w:szCs w:val="22"/>
        </w:rPr>
        <w:t xml:space="preserve"> Belangrijkste opdracht van het dagdeel. Het gewenste eindresultaat is niet dat de groep vier goede oordelen geeft, maar dat zij bij casus b zegt: “dat moet je uitrekenen.” Beloon dat expliciet.</w:t>
      </w:r>
    </w:p>
    <w:p>
      <w:pPr>
        <w:spacing w:after="140" w:line="300"/>
      </w:pPr>
      <w:r>
        <w:rPr>
          <w:rFonts w:ascii="Calibri" w:cs="Calibri" w:eastAsia="Calibri" w:hAnsi="Calibri"/>
          <w:b w:val="false"/>
          <w:bCs w:val="false"/>
          <w:i w:val="false"/>
          <w:iCs w:val="false"/>
          <w:sz w:val="22"/>
          <w:szCs w:val="22"/>
        </w:rPr>
        <w:t xml:space="preserve">Maak hierna het punt over gespreksvoering: bij winnaars voer je een kort geruststellend gesprek, bij verliezers een lang gesprek met bedragen, en bij twijfelgevallen doe je eerst onderzoek. Weten welk gesprek je voert vóórdat je begint, is het vakmanschap.</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Het gat bij uitdiensttreding (8.4).</w:t>
      </w:r>
      <w:r>
        <w:rPr>
          <w:rFonts w:ascii="Calibri" w:cs="Calibri" w:eastAsia="Calibri" w:hAnsi="Calibri"/>
          <w:b w:val="false"/>
          <w:bCs w:val="false"/>
          <w:i w:val="false"/>
          <w:iCs w:val="false"/>
          <w:sz w:val="22"/>
          <w:szCs w:val="22"/>
        </w:rPr>
        <w:t xml:space="preserve"> Casus c (zzp tussen twee banen) is het scenario dat je wilt laten hangen. Vraag de zaal: wie heeft ooit een medewerker bij uitdiensttreding hierover geïnformeerd? Meestal niemand. Dat is geen aanklacht maar een constatering die de communicatie-eisen in deel 17 en de procesinrichting in deel 19 vooraf legitimeert.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Arbeidsongeschiktheid (8.5).</w:t>
      </w:r>
      <w:r>
        <w:rPr>
          <w:rFonts w:ascii="Calibri" w:cs="Calibri" w:eastAsia="Calibri" w:hAnsi="Calibri"/>
          <w:b w:val="false"/>
          <w:bCs w:val="false"/>
          <w:i w:val="false"/>
          <w:iCs w:val="false"/>
          <w:sz w:val="22"/>
          <w:szCs w:val="22"/>
        </w:rPr>
        <w:t xml:space="preserve"> Houd dit strak — twintig minuten is genoeg voor het onderscheid en de transitievraag. Het punt dat moet blijven hangen: de groep die op het transitiemoment arbeidsongeschikt is, meldt zich niet zelf. Wie daar niet actief naar vraagt, ontdekt het probleem pas jaren later.</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Het gesprek met Karel (8.6).</w:t>
      </w:r>
      <w:r>
        <w:rPr>
          <w:rFonts w:ascii="Calibri" w:cs="Calibri" w:eastAsia="Calibri" w:hAnsi="Calibri"/>
          <w:b w:val="false"/>
          <w:bCs w:val="false"/>
          <w:i w:val="false"/>
          <w:iCs w:val="false"/>
          <w:sz w:val="22"/>
          <w:szCs w:val="22"/>
        </w:rPr>
        <w:t xml:space="preserve"> Laat dit individueel schrijven en lees twee versies voor. Bespreek de verschillen in openingszin. Twee dingen wil je horen: het verlies wordt in de eerste zinnen benoemd, en er staan bedragen in het vooruitzicht in plaats van percentages.</w:t>
      </w:r>
    </w:p>
    <w:p>
      <w:pPr>
        <w:spacing w:after="140" w:line="300"/>
      </w:pPr>
      <w:r>
        <w:rPr>
          <w:rFonts w:ascii="Calibri" w:cs="Calibri" w:eastAsia="Calibri" w:hAnsi="Calibri"/>
          <w:b w:val="false"/>
          <w:bCs w:val="false"/>
          <w:i w:val="false"/>
          <w:iCs w:val="false"/>
          <w:sz w:val="22"/>
          <w:szCs w:val="22"/>
        </w:rPr>
        <w:t xml:space="preserve">Wat je expliciet moet afkeuren: “gemiddeld genomen gaat iedereen erop vooruit”. Voor Karels partner is het populatiegemiddelde irrelevant, en de zin wekt de indruk dat zijn zorg overdreven is. Dat is precies het moment waarop een deelnemer zijn vertrouwen in de hele transitie verliest.</w:t>
      </w:r>
    </w:p>
    <w:p>
      <w:pPr>
        <w:spacing w:after="100"/>
      </w:pPr>
    </w:p>
    <w:p>
      <w:pPr>
        <w:pStyle w:val="Heading2"/>
        <w:spacing w:after="120" w:before="200"/>
      </w:pPr>
      <w:r>
        <w:rPr>
          <w:rFonts w:ascii="Georgia" w:cs="Georgia" w:eastAsia="Georgia" w:hAnsi="Georgia"/>
          <w:b/>
          <w:bCs/>
          <w:color w:val="2563A8"/>
          <w:sz w:val="28"/>
          <w:szCs w:val="28"/>
        </w:rPr>
        <w:t xml:space="preserve">Emotionele lading</w:t>
      </w:r>
    </w:p>
    <w:p>
      <w:pPr>
        <w:spacing w:after="140" w:line="300"/>
      </w:pPr>
      <w:r>
        <w:rPr>
          <w:rFonts w:ascii="Calibri" w:cs="Calibri" w:eastAsia="Calibri" w:hAnsi="Calibri"/>
          <w:b w:val="false"/>
          <w:bCs w:val="false"/>
          <w:i w:val="false"/>
          <w:iCs w:val="false"/>
          <w:sz w:val="22"/>
          <w:szCs w:val="22"/>
        </w:rPr>
        <w:t xml:space="preserve">Dit onderwerp raakt mensen. Enkele praktische aanwijzingen:</w:t>
      </w:r>
    </w:p>
    <w:p>
      <w:pPr>
        <w:pStyle w:val="ListParagraph"/>
        <w:numPr>
          <w:ilvl w:val="0"/>
          <w:numId w:val="1"/>
        </w:numPr>
        <w:spacing w:after="80"/>
      </w:pPr>
      <w:r>
        <w:rPr>
          <w:rFonts w:ascii="Calibri" w:cs="Calibri" w:eastAsia="Calibri" w:hAnsi="Calibri"/>
          <w:sz w:val="22"/>
          <w:szCs w:val="22"/>
        </w:rPr>
        <w:t xml:space="preserve">Kondig aan het begin aan dat het over overlijden en arbeidsongeschiktheid gaat, in één zin, feitelijk.</w:t>
      </w:r>
    </w:p>
    <w:p>
      <w:pPr>
        <w:pStyle w:val="ListParagraph"/>
        <w:numPr>
          <w:ilvl w:val="0"/>
          <w:numId w:val="1"/>
        </w:numPr>
        <w:spacing w:after="80"/>
      </w:pPr>
      <w:r>
        <w:rPr>
          <w:rFonts w:ascii="Calibri" w:cs="Calibri" w:eastAsia="Calibri" w:hAnsi="Calibri"/>
          <w:sz w:val="22"/>
          <w:szCs w:val="22"/>
        </w:rPr>
        <w:t xml:space="preserve">Gebruik in casussen fictieve namen en houd ze consistent — Karel en Marleen, niet “een deelnemer”.</w:t>
      </w:r>
    </w:p>
    <w:p>
      <w:pPr>
        <w:pStyle w:val="ListParagraph"/>
        <w:numPr>
          <w:ilvl w:val="0"/>
          <w:numId w:val="1"/>
        </w:numPr>
        <w:spacing w:after="80"/>
      </w:pPr>
      <w:r>
        <w:rPr>
          <w:rFonts w:ascii="Calibri" w:cs="Calibri" w:eastAsia="Calibri" w:hAnsi="Calibri"/>
          <w:sz w:val="22"/>
          <w:szCs w:val="22"/>
        </w:rPr>
        <w:t xml:space="preserve">Als een deelnemer een persoonlijk verhaal deelt, geef daar kort ruimte aan en breng het gesprek daarna terug bij de vakinhoud. Vermijd het verhaal te gebruiken als illustratie tenzij de deelnemer dat zelf aanbiedt.</w:t>
      </w:r>
    </w:p>
    <w:p>
      <w:pPr>
        <w:pStyle w:val="ListParagraph"/>
        <w:numPr>
          <w:ilvl w:val="0"/>
          <w:numId w:val="1"/>
        </w:numPr>
        <w:spacing w:after="80"/>
      </w:pPr>
      <w:r>
        <w:rPr>
          <w:rFonts w:ascii="Calibri" w:cs="Calibri" w:eastAsia="Calibri" w:hAnsi="Calibri"/>
          <w:sz w:val="22"/>
          <w:szCs w:val="22"/>
        </w:rPr>
        <w:t xml:space="preserve">Sluit het dagdeel niet af op het zwaarste punt. Eindig met het Anw-hiaat en het huiswerk; dat is bewust een technische afsluiting.</w:t>
      </w:r>
    </w:p>
    <w:p>
      <w:pPr>
        <w:spacing w:after="100"/>
      </w:pPr>
    </w:p>
    <w:p>
      <w:pPr>
        <w:pStyle w:val="Heading2"/>
        <w:spacing w:after="120" w:before="200"/>
      </w:pPr>
      <w:r>
        <w:rPr>
          <w:rFonts w:ascii="Georgia" w:cs="Georgia" w:eastAsia="Georgia" w:hAnsi="Georgia"/>
          <w:b/>
          <w:bCs/>
          <w:color w:val="2563A8"/>
          <w:sz w:val="28"/>
          <w:szCs w:val="28"/>
        </w:rPr>
        <w:t xml:space="preserve">Veelgestelde vragen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“Is 50% het standaardpercentage?”</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Nee, het is het wettelijk maximum. Wat een regeling biedt, is een arbeidsvoorwaardelijke keuze en verschilt per werkgever en per sector.</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“Wat gebeurt er met een partnerpensioen dat onder de oude regeling al is opgebouwd?”</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Dat is een bestaande aanspraak en volgt dezelfde logica als in deel 5: het blijft staan, tenzij het wordt ingevaren of overgedragen. Deelnemers houden dus vaak een oud opgebouwd stuk náást de nieuwe risicodekking. Dat is goed nieuws en het moet worden verteld, want anders rekenen mensen zichzelf armer dan zij zijn.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“Wie is partner?”</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Het partnerbegrip is met de stelselwijziging uniformer geworden, maar de details staan in het reglement en verschillen nog steeds. Controleer altijd de definitie in de betreffende regeling, zeker bij ongehuwd samenwonenden en bij de aanmeldingsplicht die daar soms bij hoort. Dit is een klassieke bron van teleurstelling na een overlijden.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“En als iemand na de pensioendatum trouwt?”</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Regelingafhankelijk en een terugkerende bron van geschillen. Parkeer voor deel 9 en 22.</w:t>
      </w:r>
    </w:p>
    <w:p>
      <w:pPr>
        <w:spacing w:after="100"/>
      </w:pPr>
    </w:p>
    <w:p>
      <w:pPr>
        <w:pStyle w:val="Heading2"/>
        <w:spacing w:after="120" w:before="200"/>
      </w:pPr>
      <w:r>
        <w:rPr>
          <w:rFonts w:ascii="Georgia" w:cs="Georgia" w:eastAsia="Georgia" w:hAnsi="Georgia"/>
          <w:b/>
          <w:bCs/>
          <w:color w:val="2563A8"/>
          <w:sz w:val="28"/>
          <w:szCs w:val="28"/>
        </w:rPr>
        <w:t xml:space="preserve">Voorbereiding en materiaal</w:t>
      </w:r>
    </w:p>
    <w:p>
      <w:pPr>
        <w:pStyle w:val="ListParagraph"/>
        <w:numPr>
          <w:ilvl w:val="0"/>
          <w:numId w:val="1"/>
        </w:numPr>
        <w:spacing w:after="80"/>
      </w:pPr>
      <w:r>
        <w:rPr>
          <w:rFonts w:ascii="Calibri" w:cs="Calibri" w:eastAsia="Calibri" w:hAnsi="Calibri"/>
          <w:sz w:val="22"/>
          <w:szCs w:val="22"/>
        </w:rPr>
        <w:t xml:space="preserve">Actuele maxima en eindleeftijden gecontroleerd</w:t>
      </w:r>
    </w:p>
    <w:p>
      <w:pPr>
        <w:pStyle w:val="ListParagraph"/>
        <w:numPr>
          <w:ilvl w:val="0"/>
          <w:numId w:val="1"/>
        </w:numPr>
        <w:spacing w:after="80"/>
      </w:pPr>
      <w:r>
        <w:rPr>
          <w:rFonts w:ascii="Calibri" w:cs="Calibri" w:eastAsia="Calibri" w:hAnsi="Calibri"/>
          <w:sz w:val="22"/>
          <w:szCs w:val="22"/>
        </w:rPr>
        <w:t xml:space="preserve">Twee gerekende voorbeelden klaar: één winnaar, één verliezer, in euro’s per jaar — niet in percentages</w:t>
      </w:r>
    </w:p>
    <w:p>
      <w:pPr>
        <w:pStyle w:val="ListParagraph"/>
        <w:numPr>
          <w:ilvl w:val="0"/>
          <w:numId w:val="1"/>
        </w:numPr>
        <w:spacing w:after="80"/>
      </w:pPr>
      <w:r>
        <w:rPr>
          <w:rFonts w:ascii="Calibri" w:cs="Calibri" w:eastAsia="Calibri" w:hAnsi="Calibri"/>
          <w:sz w:val="22"/>
          <w:szCs w:val="22"/>
        </w:rPr>
        <w:t xml:space="preserve">Rustige opening voorbereid; dit dagdeel begint niet met een grap</w:t>
      </w:r>
    </w:p>
    <w:p>
      <w:pPr>
        <w:pStyle w:val="ListParagraph"/>
        <w:numPr>
          <w:ilvl w:val="0"/>
          <w:numId w:val="1"/>
        </w:numPr>
        <w:spacing w:after="80"/>
      </w:pPr>
      <w:r>
        <w:rPr>
          <w:rFonts w:ascii="Calibri" w:cs="Calibri" w:eastAsia="Calibri" w:hAnsi="Calibri"/>
          <w:sz w:val="22"/>
          <w:szCs w:val="22"/>
        </w:rPr>
        <w:t xml:space="preserve">Optioneel: een echte, geanonimiseerde passage over partnerpensioen uit een oud pensioenreglement. Laat deelnemers vaststellen of het opbouw of risico is; dat blijkt in de praktijk vaak lastiger dan verwacht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Huiswerk:</w:t>
      </w:r>
      <w:r>
        <w:rPr>
          <w:rFonts w:ascii="Calibri" w:cs="Calibri" w:eastAsia="Calibri" w:hAnsi="Calibri"/>
          <w:b w:val="false"/>
          <w:bCs w:val="false"/>
          <w:i w:val="false"/>
          <w:iCs w:val="false"/>
          <w:sz w:val="22"/>
          <w:szCs w:val="22"/>
        </w:rPr>
        <w:t xml:space="preserve"> opdracht 8.8. Kondig deel 9 aan als het deel waarin één deelnemer door zijn hele leven wordt gevolgd — indiensttreding, waardeoverdracht, scheiding, keuzes, pensionering — en waarin alles uit de delen 1 tot en met 8 op één dossier samenkomt.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1 — Fundament · Deel 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2026-08-17T11:22:44.258Z</dcterms:created>
  <dcterms:modified xsi:type="dcterms:W3CDTF">2026-08-17T11:22:44.258Z</dcterms:modified>
</cp:coreProperties>
</file>

<file path=docProps/custom.xml><?xml version="1.0" encoding="utf-8"?>
<Properties xmlns="http://schemas.openxmlformats.org/officeDocument/2006/custom-properties" xmlns:vt="http://schemas.openxmlformats.org/officeDocument/2006/docPropsVTypes"/>
</file>