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8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8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8.1 — Oud en nieuw naast elkaar</w:t>
      </w:r>
    </w:p>
    <w:p>
      <w:pPr>
        <w:spacing w:after="140" w:line="300"/>
      </w:pPr>
      <w:r>
        <w:rPr>
          <w:rFonts w:ascii="Calibri" w:cs="Calibri" w:eastAsia="Calibri" w:hAnsi="Calibri"/>
          <w:b w:val="false"/>
          <w:bCs w:val="false"/>
          <w:i w:val="false"/>
          <w:iCs w:val="false"/>
          <w:sz w:val="22"/>
          <w:szCs w:val="22"/>
        </w:rPr>
        <w:t xml:space="preserve">Zet in een tabel wat er verandert aan het partnerpensioen vóór de pensioendatum: grondslag, afhankelijkheid van diensttijd, karakter (opbouw of risico), wat er gebeurt bij uitdiensttreding.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Oud (opbouwbasis)</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Nieuw</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Grondslag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percentage van het te bereiken ouderdomspensioen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percentage van het pensioengevend salaris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Diensttijd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bepalend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niet bepalend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Karakter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opbouw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risicodekking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Bij uitdiensttreding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premievrije aanspraak blijft staan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dekking vervalt, met uitloopdekking en voortzettingsmogelijkheden</w:t>
            </w:r>
          </w:p>
        </w:tc>
      </w:tr>
    </w:tbl>
    <w:p>
      <w:pPr>
        <w:spacing w:after="140" w:line="300"/>
      </w:pPr>
      <w:r>
        <w:rPr>
          <w:rFonts w:ascii="Calibri" w:cs="Calibri" w:eastAsia="Calibri" w:hAnsi="Calibri"/>
          <w:b w:val="false"/>
          <w:bCs w:val="false"/>
          <w:i w:val="false"/>
          <w:iCs w:val="false"/>
          <w:sz w:val="22"/>
          <w:szCs w:val="22"/>
        </w:rPr>
        <w:t xml:space="preserve">Let op de laatste rij: het nieuwe kader is niet op elk punt beter. De premievrije aanspraak uit een opbouwregeling bleef staan; de risicodekking vervalt. Daar staan uitloopdekking, WW-dekking en vrijwillige voortzetting tegenover, maar die vragen actie of kennis van de deelnemer.</w:t>
      </w:r>
    </w:p>
    <w:p>
      <w:pPr>
        <w:spacing w:after="100"/>
      </w:pPr>
    </w:p>
    <w:p>
      <w:pPr>
        <w:pStyle w:val="Heading2"/>
        <w:spacing w:after="120" w:before="200"/>
      </w:pPr>
      <w:r>
        <w:rPr>
          <w:rFonts w:ascii="Georgia" w:cs="Georgia" w:eastAsia="Georgia" w:hAnsi="Georgia"/>
          <w:b/>
          <w:bCs/>
          <w:color w:val="2563A8"/>
          <w:sz w:val="28"/>
          <w:szCs w:val="28"/>
        </w:rPr>
        <w:t xml:space="preserve">Opdracht 8.2 — Vóór of ná de pensioendatum</w:t>
      </w:r>
    </w:p>
    <w:p>
      <w:pPr>
        <w:spacing w:after="140" w:line="300"/>
      </w:pPr>
      <w:r>
        <w:rPr>
          <w:rFonts w:ascii="Calibri" w:cs="Calibri" w:eastAsia="Calibri" w:hAnsi="Calibri"/>
          <w:b w:val="false"/>
          <w:bCs w:val="false"/>
          <w:i w:val="false"/>
          <w:iCs w:val="false"/>
          <w:sz w:val="22"/>
          <w:szCs w:val="22"/>
        </w:rPr>
        <w:t xml:space="preserve">Beoordeel per uitspraak of zij klopt.</w:t>
      </w:r>
    </w:p>
    <w:p>
      <w:pPr>
        <w:spacing w:after="140" w:line="300"/>
      </w:pPr>
      <w:r>
        <w:rPr>
          <w:rFonts w:ascii="Calibri" w:cs="Calibri" w:eastAsia="Calibri" w:hAnsi="Calibri"/>
          <w:b w:val="false"/>
          <w:bCs w:val="false"/>
          <w:i w:val="false"/>
          <w:iCs w:val="false"/>
          <w:sz w:val="22"/>
          <w:szCs w:val="22"/>
        </w:rPr>
        <w:t xml:space="preserve">a. “Mijn partner krijgt 50% van mijn salaris als ik overlijd, ook als ik dan al met pensioen ben.”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“Als ik overlijd voordat ik met pensioen ga, hangt de uitkering af van hoeveel ik heb opgebouwd.”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“Op mijn pensioendatum moet ik kiezen of ik iets voor mijn partner regel.”</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“Het maakt voor mijn nabestaandendekking niet uit hoe lang ik hier al werk.”</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Onjuist. Het percentage van het salaris geldt voor overlijden vóór de pensioendatum. Daarna wordt de voorziening uit het opgebouwde vermogen gefinancierd.</w:t>
      </w:r>
    </w:p>
    <w:p>
      <w:pPr>
        <w:spacing w:after="140" w:line="300"/>
      </w:pPr>
      <w:r>
        <w:rPr>
          <w:rFonts w:ascii="Calibri" w:cs="Calibri" w:eastAsia="Calibri" w:hAnsi="Calibri"/>
          <w:b w:val="false"/>
          <w:bCs w:val="false"/>
          <w:i w:val="false"/>
          <w:iCs w:val="false"/>
          <w:sz w:val="22"/>
          <w:szCs w:val="22"/>
        </w:rPr>
        <w:t xml:space="preserve">b. Onjuist voor overlijden vóór de pensioendatum: dan is het juist diensttijd- en vermogensonafhankelijk. Wel juist voor de periode daarna.</w:t>
      </w:r>
    </w:p>
    <w:p>
      <w:pPr>
        <w:spacing w:after="140" w:line="300"/>
      </w:pPr>
      <w:r>
        <w:rPr>
          <w:rFonts w:ascii="Calibri" w:cs="Calibri" w:eastAsia="Calibri" w:hAnsi="Calibri"/>
          <w:b w:val="false"/>
          <w:bCs w:val="false"/>
          <w:i w:val="false"/>
          <w:iCs w:val="false"/>
          <w:sz w:val="22"/>
          <w:szCs w:val="22"/>
        </w:rPr>
        <w:t xml:space="preserve">c. Juist, en dit is een van de belangrijkste keuzemomenten in het hele deelnemersleven.</w:t>
      </w:r>
    </w:p>
    <w:p>
      <w:pPr>
        <w:spacing w:after="140" w:line="300"/>
      </w:pPr>
      <w:r>
        <w:rPr>
          <w:rFonts w:ascii="Calibri" w:cs="Calibri" w:eastAsia="Calibri" w:hAnsi="Calibri"/>
          <w:b w:val="false"/>
          <w:bCs w:val="false"/>
          <w:i w:val="false"/>
          <w:iCs w:val="false"/>
          <w:sz w:val="22"/>
          <w:szCs w:val="22"/>
        </w:rPr>
        <w:t xml:space="preserve">d. Juist voor overlijden vóór de pensioendatum.</w:t>
      </w:r>
    </w:p>
    <w:p>
      <w:pPr>
        <w:spacing w:after="140" w:line="300"/>
      </w:pPr>
      <w:r>
        <w:rPr>
          <w:rFonts w:ascii="Calibri" w:cs="Calibri" w:eastAsia="Calibri" w:hAnsi="Calibri"/>
          <w:b w:val="false"/>
          <w:bCs w:val="false"/>
          <w:i w:val="false"/>
          <w:iCs w:val="false"/>
          <w:sz w:val="22"/>
          <w:szCs w:val="22"/>
        </w:rPr>
        <w:t xml:space="preserve">De uitspraken a en b zijn spiegelbeeldig fout — precies de verwarring die in gesprekken ontstaat als vóór en ná de pensioendatum niet expliciet worden gescheiden. Maak er een gewoonte van om die twee altijd apart te benoemen.</w:t>
      </w:r>
    </w:p>
    <w:p>
      <w:pPr>
        <w:spacing w:after="100"/>
      </w:pPr>
    </w:p>
    <w:p>
      <w:pPr>
        <w:pStyle w:val="Heading2"/>
        <w:spacing w:after="120" w:before="200"/>
      </w:pPr>
      <w:r>
        <w:rPr>
          <w:rFonts w:ascii="Georgia" w:cs="Georgia" w:eastAsia="Georgia" w:hAnsi="Georgia"/>
          <w:b/>
          <w:bCs/>
          <w:color w:val="2563A8"/>
          <w:sz w:val="28"/>
          <w:szCs w:val="28"/>
        </w:rPr>
        <w:t xml:space="preserve">Opdracht 8.3 — Wie wint, wie verliest</w:t>
      </w:r>
    </w:p>
    <w:p>
      <w:pPr>
        <w:spacing w:after="140" w:line="300"/>
      </w:pPr>
      <w:r>
        <w:rPr>
          <w:rFonts w:ascii="Calibri" w:cs="Calibri" w:eastAsia="Calibri" w:hAnsi="Calibri"/>
          <w:b w:val="false"/>
          <w:bCs w:val="false"/>
          <w:i w:val="false"/>
          <w:iCs w:val="false"/>
          <w:sz w:val="22"/>
          <w:szCs w:val="22"/>
        </w:rPr>
        <w:t xml:space="preserve">Beoordeel per deelnemer of de overgang naar 40% van het salaris op risicobasis gunstig of ongunstig uitpakt ten opzichte van een oude regeling met 70% van het te bereiken ouderdomspensioen.</w:t>
      </w:r>
    </w:p>
    <w:p>
      <w:pPr>
        <w:spacing w:after="140" w:line="300"/>
      </w:pPr>
      <w:r>
        <w:rPr>
          <w:rFonts w:ascii="Calibri" w:cs="Calibri" w:eastAsia="Calibri" w:hAnsi="Calibri"/>
          <w:b w:val="false"/>
          <w:bCs w:val="false"/>
          <w:i w:val="false"/>
          <w:iCs w:val="false"/>
          <w:sz w:val="22"/>
          <w:szCs w:val="22"/>
        </w:rPr>
        <w:t xml:space="preserve">a. Yasmin (26), twee dienstjaren, salaris € 42.000.</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Karel (58), 31 dienstjaren, salaris € 48.000.</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Nadia (39), acht dienstjaren na drie eerdere werkgevers, salaris € 61.000.</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45-jarige die net is begonnen na twintig jaar bij een andere werkgever waar het partnerpensioen op risicobasis was verzekerd.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Sterk gunstig. Met twee dienstjaren was haar te bereiken pensioen wel hoog, maar de opgebouwde dekking bij overlijden nu is in veel oude regelingen gebaseerd op het te bereiken pensioen — dat verschilt per regeling. Belangrijker: haar dekking is nu een vast en begrijpelijk bedrag, direct vanaf indiensttreding.</w:t>
      </w:r>
    </w:p>
    <w:p>
      <w:pPr>
        <w:spacing w:after="140" w:line="300"/>
      </w:pPr>
      <w:r>
        <w:rPr>
          <w:rFonts w:ascii="Calibri" w:cs="Calibri" w:eastAsia="Calibri" w:hAnsi="Calibri"/>
          <w:b w:val="false"/>
          <w:bCs w:val="false"/>
          <w:i w:val="false"/>
          <w:iCs w:val="false"/>
          <w:sz w:val="22"/>
          <w:szCs w:val="22"/>
        </w:rPr>
        <w:t xml:space="preserve">b. Waarschijnlijk ongunstig: bij 31 dienstjaren en een hoog te bereiken ouderdomspensioen kan 70% daarvan hoger uitvallen dan 40% van € 48.000. Reken het uit voordat je iets beweert.</w:t>
      </w:r>
    </w:p>
    <w:p>
      <w:pPr>
        <w:spacing w:after="140" w:line="300"/>
      </w:pPr>
      <w:r>
        <w:rPr>
          <w:rFonts w:ascii="Calibri" w:cs="Calibri" w:eastAsia="Calibri" w:hAnsi="Calibri"/>
          <w:b w:val="false"/>
          <w:bCs w:val="false"/>
          <w:i w:val="false"/>
          <w:iCs w:val="false"/>
          <w:sz w:val="22"/>
          <w:szCs w:val="22"/>
        </w:rPr>
        <w:t xml:space="preserve">c. Gemengd. Haar dekking bij deze werkgever wordt duidelijker en hoger dan bij acht dienstjaren waarschijnlijk het geval was. Wat bij haar vorige werkgevers is achtergebleven, hangt af van het karakter daar — dat moet worden nagegaan, niet aangenomen.</w:t>
      </w:r>
    </w:p>
    <w:p>
      <w:pPr>
        <w:spacing w:after="140" w:line="300"/>
      </w:pPr>
      <w:r>
        <w:rPr>
          <w:rFonts w:ascii="Calibri" w:cs="Calibri" w:eastAsia="Calibri" w:hAnsi="Calibri"/>
          <w:b w:val="false"/>
          <w:bCs w:val="false"/>
          <w:i w:val="false"/>
          <w:iCs w:val="false"/>
          <w:sz w:val="22"/>
          <w:szCs w:val="22"/>
        </w:rPr>
        <w:t xml:space="preserve">d. Sterk gunstig. Bij zijn vorige werkgever verviel de dekking bij vertrek; hij had dus een gat. Nu heeft hij vanaf dag één de volle dekking.</w:t>
      </w:r>
    </w:p>
    <w:p>
      <w:pPr>
        <w:spacing w:after="140" w:line="300"/>
      </w:pPr>
      <w:r>
        <w:rPr>
          <w:rFonts w:ascii="Calibri" w:cs="Calibri" w:eastAsia="Calibri" w:hAnsi="Calibri"/>
          <w:b w:val="false"/>
          <w:bCs w:val="false"/>
          <w:i w:val="false"/>
          <w:iCs w:val="false"/>
          <w:sz w:val="22"/>
          <w:szCs w:val="22"/>
        </w:rPr>
        <w:t xml:space="preserve">Kernpunt: bij b hoort een berekening, bij c hoort onderzoek, en bij a en d hoort een eenvoudig, geruststellend gesprek. Weten welk gesprek je voert, is de vaardigheid.</w:t>
      </w:r>
    </w:p>
    <w:p>
      <w:pPr>
        <w:spacing w:after="100"/>
      </w:pPr>
    </w:p>
    <w:p>
      <w:pPr>
        <w:pStyle w:val="Heading2"/>
        <w:spacing w:after="120" w:before="200"/>
      </w:pPr>
      <w:r>
        <w:rPr>
          <w:rFonts w:ascii="Georgia" w:cs="Georgia" w:eastAsia="Georgia" w:hAnsi="Georgia"/>
          <w:b/>
          <w:bCs/>
          <w:color w:val="2563A8"/>
          <w:sz w:val="28"/>
          <w:szCs w:val="28"/>
        </w:rPr>
        <w:t xml:space="preserve">Opdracht 8.4 — Het gat bij uitdiensttreding</w:t>
      </w:r>
    </w:p>
    <w:p>
      <w:pPr>
        <w:spacing w:after="140" w:line="300"/>
      </w:pPr>
      <w:r>
        <w:rPr>
          <w:rFonts w:ascii="Calibri" w:cs="Calibri" w:eastAsia="Calibri" w:hAnsi="Calibri"/>
          <w:b w:val="false"/>
          <w:bCs w:val="false"/>
          <w:i w:val="false"/>
          <w:iCs w:val="false"/>
          <w:sz w:val="22"/>
          <w:szCs w:val="22"/>
        </w:rPr>
        <w:t xml:space="preserve">Rob vertrekt op 1 maart bij zijn werkgever en begint op 1 juni bij een nieuwe werkgever. Op 15 april overlijdt hij.</w:t>
      </w:r>
    </w:p>
    <w:p>
      <w:pPr>
        <w:spacing w:after="140" w:line="300"/>
      </w:pPr>
      <w:r>
        <w:rPr>
          <w:rFonts w:ascii="Calibri" w:cs="Calibri" w:eastAsia="Calibri" w:hAnsi="Calibri"/>
          <w:b w:val="false"/>
          <w:bCs w:val="false"/>
          <w:i w:val="false"/>
          <w:iCs w:val="false"/>
          <w:sz w:val="22"/>
          <w:szCs w:val="22"/>
        </w:rPr>
        <w:t xml:space="preserve">a. Is er dekking?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als hij pas op 1 september was begonnen en tot die tijd een WW-uitkering ontving?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als hij tussen de banen door als zzp’er werkte?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Wat had hij kunnen doen?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Ja — de uitloopdekking loopt na einde deelname nog een periode door, standaard drie maanden. 15 april valt daarbinnen.</w:t>
      </w:r>
    </w:p>
    <w:p>
      <w:pPr>
        <w:spacing w:after="140" w:line="300"/>
      </w:pPr>
      <w:r>
        <w:rPr>
          <w:rFonts w:ascii="Calibri" w:cs="Calibri" w:eastAsia="Calibri" w:hAnsi="Calibri"/>
          <w:b w:val="false"/>
          <w:bCs w:val="false"/>
          <w:i w:val="false"/>
          <w:iCs w:val="false"/>
          <w:sz w:val="22"/>
          <w:szCs w:val="22"/>
        </w:rPr>
        <w:t xml:space="preserve">b. Dan blijft de dekking in stand zolang hij WW ontvangt.</w:t>
      </w:r>
    </w:p>
    <w:p>
      <w:pPr>
        <w:spacing w:after="140" w:line="300"/>
      </w:pPr>
      <w:r>
        <w:rPr>
          <w:rFonts w:ascii="Calibri" w:cs="Calibri" w:eastAsia="Calibri" w:hAnsi="Calibri"/>
          <w:b w:val="false"/>
          <w:bCs w:val="false"/>
          <w:i w:val="false"/>
          <w:iCs w:val="false"/>
          <w:sz w:val="22"/>
          <w:szCs w:val="22"/>
        </w:rPr>
        <w:t xml:space="preserve">c. Dan is er na afloop van de uitloopdekking geen dekking meer vanuit een pensioenregeling. Dit is het scenario met het grootste risico en het komt vaker voor dan gedacht.</w:t>
      </w:r>
    </w:p>
    <w:p>
      <w:pPr>
        <w:spacing w:after="140" w:line="300"/>
      </w:pPr>
      <w:r>
        <w:rPr>
          <w:rFonts w:ascii="Calibri" w:cs="Calibri" w:eastAsia="Calibri" w:hAnsi="Calibri"/>
          <w:b w:val="false"/>
          <w:bCs w:val="false"/>
          <w:i w:val="false"/>
          <w:iCs w:val="false"/>
          <w:sz w:val="22"/>
          <w:szCs w:val="22"/>
        </w:rPr>
        <w:t xml:space="preserve">d. Vrijwillige voortzetting van de risicodekking uit zijn eigen pensioenvermogen, of een individuele overlijdensrisicoverzekering. Beide vergen dat hij op het uitdiensttredingsmoment weet dat dit speelt — en dat is precies waar de communicatieplicht van de uitvoerder scherp wordt.</w:t>
      </w:r>
    </w:p>
    <w:p>
      <w:pPr>
        <w:spacing w:after="140" w:line="300"/>
      </w:pPr>
      <w:r>
        <w:rPr>
          <w:rFonts w:ascii="Calibri" w:cs="Calibri" w:eastAsia="Calibri" w:hAnsi="Calibri"/>
          <w:b w:val="false"/>
          <w:bCs w:val="false"/>
          <w:i w:val="false"/>
          <w:iCs w:val="false"/>
          <w:sz w:val="22"/>
          <w:szCs w:val="22"/>
        </w:rPr>
        <w:t xml:space="preserve">Reflectievraag: wie had Rob hierover moeten informeren, en op welk moment? Antwoord: de uitvoerder bij einde deelname, en de werkgever in het exitgesprek. In de praktijk gebeurt het tweede zelden.</w:t>
      </w:r>
    </w:p>
    <w:p>
      <w:pPr>
        <w:spacing w:after="100"/>
      </w:pPr>
    </w:p>
    <w:p>
      <w:pPr>
        <w:pStyle w:val="Heading2"/>
        <w:spacing w:after="120" w:before="200"/>
      </w:pPr>
      <w:r>
        <w:rPr>
          <w:rFonts w:ascii="Georgia" w:cs="Georgia" w:eastAsia="Georgia" w:hAnsi="Georgia"/>
          <w:b/>
          <w:bCs/>
          <w:color w:val="2563A8"/>
          <w:sz w:val="28"/>
          <w:szCs w:val="28"/>
        </w:rPr>
        <w:t xml:space="preserve">Opdracht 8.5 — De twee arbeidsongeschiktheidsvoorzieningen</w:t>
      </w:r>
    </w:p>
    <w:p>
      <w:pPr>
        <w:spacing w:after="140" w:line="300"/>
      </w:pPr>
      <w:r>
        <w:rPr>
          <w:rFonts w:ascii="Calibri" w:cs="Calibri" w:eastAsia="Calibri" w:hAnsi="Calibri"/>
          <w:b w:val="false"/>
          <w:bCs w:val="false"/>
          <w:i w:val="false"/>
          <w:iCs w:val="false"/>
          <w:sz w:val="22"/>
          <w:szCs w:val="22"/>
        </w:rPr>
        <w:t xml:space="preserve">Verklaar het verschil tussen premievrijstelling bij arbeidsongeschiktheid en arbeidsongeschiktheidspensioen, en beantwoord daarna:</w:t>
      </w:r>
    </w:p>
    <w:p>
      <w:pPr>
        <w:spacing w:after="140" w:line="300"/>
      </w:pPr>
      <w:r>
        <w:rPr>
          <w:rFonts w:ascii="Calibri" w:cs="Calibri" w:eastAsia="Calibri" w:hAnsi="Calibri"/>
          <w:b w:val="false"/>
          <w:bCs w:val="false"/>
          <w:i w:val="false"/>
          <w:iCs w:val="false"/>
          <w:sz w:val="22"/>
          <w:szCs w:val="22"/>
        </w:rPr>
        <w:t xml:space="preserve">a. Welke van de twee raakt de hoogte van het latere ouderdomspensioen?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van de twee is inkomensdekking?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Welke vraag stel je bij een transitie over de groep die op dat moment arbeidsongeschikt is?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Premievrijstelling: de opbouw loopt door zonder premiebetaling, naar rato van het arbeidsongeschiktheidspercentage — een dekking binnen de pensioenregeling. Arbeidsongeschiktheidspensioen: een aanvulling op de WIA-uitkering — een inkomensdekking.</w:t>
      </w:r>
    </w:p>
    <w:p>
      <w:pPr>
        <w:spacing w:after="140" w:line="300"/>
      </w:pPr>
      <w:r>
        <w:rPr>
          <w:rFonts w:ascii="Calibri" w:cs="Calibri" w:eastAsia="Calibri" w:hAnsi="Calibri"/>
          <w:b w:val="false"/>
          <w:bCs w:val="false"/>
          <w:i w:val="false"/>
          <w:iCs w:val="false"/>
          <w:sz w:val="22"/>
          <w:szCs w:val="22"/>
        </w:rPr>
        <w:t xml:space="preserve">a. De premievrijstelling.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Het arbeidsongeschiktheidspensioen.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In welke regeling zit deze groep na het transitiemoment, en volgens welke systematiek loopt hun opbouw door — de oude of de nieuwe? Vraag het schriftelijk na bij de uitvoerder en leg het antwoord vast. Deze groep meldt zich niet zelf en wordt door werkgevers gemakkelijk over het hoofd gezien.</w:t>
      </w:r>
    </w:p>
    <w:p>
      <w:pPr>
        <w:spacing w:after="100"/>
      </w:pPr>
    </w:p>
    <w:p>
      <w:pPr>
        <w:pStyle w:val="Heading2"/>
        <w:spacing w:after="120" w:before="200"/>
      </w:pPr>
      <w:r>
        <w:rPr>
          <w:rFonts w:ascii="Georgia" w:cs="Georgia" w:eastAsia="Georgia" w:hAnsi="Georgia"/>
          <w:b/>
          <w:bCs/>
          <w:color w:val="2563A8"/>
          <w:sz w:val="28"/>
          <w:szCs w:val="28"/>
        </w:rPr>
        <w:t xml:space="preserve">Opdracht 8.6 — Het gesprek met Karel *</w:t>
      </w:r>
    </w:p>
    <w:p>
      <w:pPr>
        <w:spacing w:after="140" w:line="300"/>
      </w:pPr>
      <w:r>
        <w:rPr>
          <w:rFonts w:ascii="Calibri" w:cs="Calibri" w:eastAsia="Calibri" w:hAnsi="Calibri"/>
          <w:b w:val="false"/>
          <w:bCs w:val="false"/>
          <w:i w:val="false"/>
          <w:iCs w:val="false"/>
          <w:sz w:val="22"/>
          <w:szCs w:val="22"/>
        </w:rPr>
        <w:t xml:space="preserve">Bereid het gesprek voor dat Anouk Verhagen met Karel Sanders moet voeren. Schrijf de opening op (maximaal vijf zinnen) en noteer welke drie stukken informatie je bij je hebt.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(voorbeeldopening).</w:t>
            </w:r>
          </w:p>
        </w:tc>
      </w:tr>
    </w:tbl>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“Karel, ik wil met je praten over één onderdeel van de nieuwe regeling waar ik zeker wil weten dat het duidelijk is: wat er voor Marleen geregeld is als jou iets overkomt. In de oude regeling was dat gekoppeld aan je dienstjaren, en die heb je er veel. In de nieuwe regeling is het een vast percentage van je salaris. Voor jou betekent dat een lager bedrag dan nu, en ik wil je precies laten zien hoeveel. En ik wil met je bespreken wat we daaraan kunnen doen.”</w:t>
            </w:r>
          </w:p>
        </w:tc>
      </w:tr>
    </w:tbl>
    <w:p>
      <w:pPr>
        <w:spacing w:after="140" w:line="300"/>
      </w:pPr>
      <w:r>
        <w:rPr>
          <w:rFonts w:ascii="Calibri" w:cs="Calibri" w:eastAsia="Calibri" w:hAnsi="Calibri"/>
          <w:b w:val="false"/>
          <w:bCs w:val="false"/>
          <w:i w:val="false"/>
          <w:iCs w:val="false"/>
          <w:sz w:val="22"/>
          <w:szCs w:val="22"/>
        </w:rPr>
        <w:t xml:space="preserve">Mee te nemen: (1) de oude dekking in euro’s per jaar, (2) de nieuwe dekking in euro’s per jaar, (3) de opties met hun prijs — vrijwillige aanvullende dekking binnen de regeling en een indicatie van een individuele overlijdensrisicoverzekering.</w:t>
      </w:r>
    </w:p>
    <w:p>
      <w:pPr>
        <w:spacing w:after="140" w:line="300"/>
      </w:pPr>
      <w:r>
        <w:rPr>
          <w:rFonts w:ascii="Calibri" w:cs="Calibri" w:eastAsia="Calibri" w:hAnsi="Calibri"/>
          <w:b w:val="false"/>
          <w:bCs w:val="false"/>
          <w:i w:val="false"/>
          <w:iCs w:val="false"/>
          <w:sz w:val="22"/>
          <w:szCs w:val="22"/>
        </w:rPr>
        <w:t xml:space="preserve">Beoordelingscriteria: het woord “gemiddeld” komt niet voor; er staan bedragen in het vooruitzicht, geen percentages; het verlies wordt in de eerste vijf zinnen benoemd en niet weggemoffeld; en er wordt een vervolg aangeboden. Wie het gesprek opent met “er verandert het een en ander”, heeft het al verloren.</w:t>
      </w:r>
    </w:p>
    <w:p>
      <w:pPr>
        <w:spacing w:after="100"/>
      </w:pPr>
    </w:p>
    <w:p>
      <w:pPr>
        <w:pStyle w:val="Heading2"/>
        <w:spacing w:after="120" w:before="200"/>
      </w:pPr>
      <w:r>
        <w:rPr>
          <w:rFonts w:ascii="Georgia" w:cs="Georgia" w:eastAsia="Georgia" w:hAnsi="Georgia"/>
          <w:b/>
          <w:bCs/>
          <w:color w:val="2563A8"/>
          <w:sz w:val="28"/>
          <w:szCs w:val="28"/>
        </w:rPr>
        <w:t xml:space="preserve">Opdracht 8.7 — Anw-hiaat</w:t>
      </w:r>
    </w:p>
    <w:p>
      <w:pPr>
        <w:spacing w:after="140" w:line="300"/>
      </w:pPr>
      <w:r>
        <w:rPr>
          <w:rFonts w:ascii="Calibri" w:cs="Calibri" w:eastAsia="Calibri" w:hAnsi="Calibri"/>
          <w:b w:val="false"/>
          <w:bCs w:val="false"/>
          <w:i w:val="false"/>
          <w:iCs w:val="false"/>
          <w:sz w:val="22"/>
          <w:szCs w:val="22"/>
        </w:rPr>
        <w:t xml:space="preserve">Een werkgever wil de vrijwillige Anw-hiaatdekking schrappen bij de transitie, “want dat gebruikt bijna niemand”.</w:t>
      </w:r>
    </w:p>
    <w:p>
      <w:pPr>
        <w:spacing w:after="140" w:line="300"/>
      </w:pPr>
      <w:r>
        <w:rPr>
          <w:rFonts w:ascii="Calibri" w:cs="Calibri" w:eastAsia="Calibri" w:hAnsi="Calibri"/>
          <w:b w:val="false"/>
          <w:bCs w:val="false"/>
          <w:i w:val="false"/>
          <w:iCs w:val="false"/>
          <w:sz w:val="22"/>
          <w:szCs w:val="22"/>
        </w:rPr>
        <w:t xml:space="preserve">Noem drie tegenwerpingen.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Lage deelname zegt vaak meer over de communicatie dan over de behoefte; controleer eerst of medewerkers de dekking überhaupt kennen.</w:t>
      </w:r>
    </w:p>
    <w:p>
      <w:pPr>
        <w:pStyle w:val="ListParagraph"/>
        <w:numPr>
          <w:ilvl w:val="0"/>
          <w:numId w:val="1"/>
        </w:numPr>
        <w:spacing w:after="80"/>
      </w:pPr>
      <w:r>
        <w:rPr>
          <w:rFonts w:ascii="Calibri" w:cs="Calibri" w:eastAsia="Calibri" w:hAnsi="Calibri"/>
          <w:sz w:val="22"/>
          <w:szCs w:val="22"/>
        </w:rPr>
        <w:t xml:space="preserve">2. Wie hem nu heeft, verliest hem — dat is een verslechtering van een arbeidsvoorwaarde met alles wat daarbij hoort aan instemming en informatie.</w:t>
      </w:r>
    </w:p>
    <w:p>
      <w:pPr>
        <w:pStyle w:val="ListParagraph"/>
        <w:numPr>
          <w:ilvl w:val="0"/>
          <w:numId w:val="1"/>
        </w:numPr>
        <w:spacing w:after="80"/>
      </w:pPr>
      <w:r>
        <w:rPr>
          <w:rFonts w:ascii="Calibri" w:cs="Calibri" w:eastAsia="Calibri" w:hAnsi="Calibri"/>
          <w:sz w:val="22"/>
          <w:szCs w:val="22"/>
        </w:rPr>
        <w:t xml:space="preserve">3. Aanmeldtermijnen en acceptatievoorwaarden maken het opnieuw invoeren later moeilijk of onmogelijk voor wie inmiddels gezondheidsklachten heeft.</w:t>
      </w:r>
    </w:p>
    <w:p>
      <w:pPr>
        <w:spacing w:after="140" w:line="300"/>
      </w:pPr>
      <w:r>
        <w:rPr>
          <w:rFonts w:ascii="Calibri" w:cs="Calibri" w:eastAsia="Calibri" w:hAnsi="Calibri"/>
          <w:b w:val="false"/>
          <w:bCs w:val="false"/>
          <w:i w:val="false"/>
          <w:iCs w:val="false"/>
          <w:sz w:val="22"/>
          <w:szCs w:val="22"/>
        </w:rPr>
        <w:t xml:space="preserve">Aanvullend: juist bij de transitie, waarin het nabestaandenpensioen sowieso verandert, kan de dekking voor sommige gezinnen belangrijker worden in plaats van minder belangrijk.</w:t>
      </w:r>
    </w:p>
    <w:p>
      <w:pPr>
        <w:spacing w:after="100"/>
      </w:pPr>
    </w:p>
    <w:p>
      <w:pPr>
        <w:pStyle w:val="Heading2"/>
        <w:spacing w:after="120" w:before="200"/>
      </w:pPr>
      <w:r>
        <w:rPr>
          <w:rFonts w:ascii="Georgia" w:cs="Georgia" w:eastAsia="Georgia" w:hAnsi="Georgia"/>
          <w:b/>
          <w:bCs/>
          <w:color w:val="2563A8"/>
          <w:sz w:val="28"/>
          <w:szCs w:val="28"/>
        </w:rPr>
        <w:t xml:space="preserve">Opdracht 8.8 — Je eigen dossier</w:t>
      </w:r>
    </w:p>
    <w:p>
      <w:pPr>
        <w:spacing w:after="140" w:line="300"/>
      </w:pPr>
      <w:r>
        <w:rPr>
          <w:rFonts w:ascii="Calibri" w:cs="Calibri" w:eastAsia="Calibri" w:hAnsi="Calibri"/>
          <w:b w:val="false"/>
          <w:bCs w:val="false"/>
          <w:i w:val="false"/>
          <w:iCs w:val="false"/>
          <w:sz w:val="22"/>
          <w:szCs w:val="22"/>
        </w:rPr>
        <w:t xml:space="preserve">Bepaal voor het dossier uit opdracht 7.8: hoe is het partnerpensioen nu geregeld — opbouw of risico, welk percentage, van welke grondslag? Wat moet er veranderen? En voor welk type deelnemer pakt die verandering in dit bestand het ongunstigst uit?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karakter en grondslag zijn benoemd met vindplaats; er is een uitspraak gedaan over een concrete groep in het bestand (niet “ouderen” maar bijvoorbeeld “medewerkers boven de 50 met meer dan twintig dienstjaren”); en er is opgemerkt of het bestand veel of weinig van dat type bevat. Dat laatste bepaalt of dit een randverschijnsel is of het zwaartepunt van de communicatie.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2026-08-17T11:22:44.214Z</dcterms:created>
  <dcterms:modified xsi:type="dcterms:W3CDTF">2026-08-17T11:22:44.214Z</dcterms:modified>
</cp:coreProperties>
</file>

<file path=docProps/custom.xml><?xml version="1.0" encoding="utf-8"?>
<Properties xmlns="http://schemas.openxmlformats.org/officeDocument/2006/custom-properties" xmlns:vt="http://schemas.openxmlformats.org/officeDocument/2006/docPropsVTypes"/>
</file>