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Docentenhandleiding — Deel 9 — Docentenhandleiding</w:t>
      </w:r>
    </w:p>
    <w:p>
      <w:pPr>
        <w:spacing w:after="300"/>
      </w:pPr>
      <w:r>
        <w:rPr>
          <w:rFonts w:ascii="Calibri" w:cs="Calibri" w:eastAsia="Calibri" w:hAnsi="Calibri"/>
          <w:i/>
          <w:iCs/>
          <w:color w:val="2563A8"/>
          <w:sz w:val="22"/>
          <w:szCs w:val="22"/>
        </w:rPr>
        <w:t xml:space="preserve">Niveau 1 — Fundament · Nederlandse pensioenverzekering</w:t>
      </w:r>
    </w:p>
    <w:p>
      <w:pPr>
        <w:pStyle w:val="Heading1"/>
        <w:pBdr>
          <w:bottom w:val="single" w:color="14213D" w:sz="12" w:space="4"/>
        </w:pBdr>
        <w:spacing w:after="160" w:before="240"/>
      </w:pPr>
      <w:r>
        <w:rPr>
          <w:rFonts w:ascii="Georgia" w:cs="Georgia" w:eastAsia="Georgia" w:hAnsi="Georgia"/>
          <w:b/>
          <w:bCs/>
          <w:color w:val="14213D"/>
          <w:sz w:val="36"/>
          <w:szCs w:val="36"/>
        </w:rPr>
        <w:t xml:space="preserve">Deel 9 — Docentenhandleiding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Niveau 1 · Fundament · Eén dagdeel (3 uur inclusief pauze)</w:t>
      </w:r>
      <w:r>
        <w:rPr>
          <w:rFonts w:ascii="Calibri" w:cs="Calibri" w:eastAsia="Calibri" w:hAnsi="Calibri"/>
          <w:b w:val="false"/>
          <w:bCs w:val="false"/>
          <w:i w:val="false"/>
          <w:iCs w:val="false"/>
          <w:sz w:val="22"/>
          <w:szCs w:val="22"/>
        </w:rPr>
        <w:t xml:space="preserve"/>
      </w:r>
    </w:p>
    <w:p>
      <w:pPr>
        <w:spacing w:after="100"/>
      </w:pPr>
    </w:p>
    <w:p>
      <w:pPr>
        <w:pStyle w:val="Heading2"/>
        <w:spacing w:after="120" w:before="200"/>
      </w:pPr>
      <w:r>
        <w:rPr>
          <w:rFonts w:ascii="Georgia" w:cs="Georgia" w:eastAsia="Georgia" w:hAnsi="Georgia"/>
          <w:b/>
          <w:bCs/>
          <w:color w:val="2563A8"/>
          <w:sz w:val="28"/>
          <w:szCs w:val="28"/>
        </w:rPr>
        <w:t xml:space="preserve">Doel van dit dagdeel</w:t>
      </w:r>
    </w:p>
    <w:p>
      <w:pPr>
        <w:spacing w:after="140" w:line="300"/>
      </w:pPr>
      <w:r>
        <w:rPr>
          <w:rFonts w:ascii="Calibri" w:cs="Calibri" w:eastAsia="Calibri" w:hAnsi="Calibri"/>
          <w:b w:val="false"/>
          <w:bCs w:val="false"/>
          <w:i w:val="false"/>
          <w:iCs w:val="false"/>
          <w:sz w:val="22"/>
          <w:szCs w:val="22"/>
        </w:rPr>
        <w:t xml:space="preserve">Perspectiefwissel. De hele cursus keek tot nu toe naar regelingen; dit dagdeel kijkt naar één mens. Deelnemers moeten aan het eind kunnen benoemen op welke momenten in een deelnemersleven de kans op fouten het grootst is, en waarom dat juist de overgangsmomenten zijn.</w:t>
      </w:r>
    </w:p>
    <w:p>
      <w:pPr>
        <w:spacing w:after="140" w:line="300"/>
      </w:pPr>
      <w:r>
        <w:rPr>
          <w:rFonts w:ascii="Calibri" w:cs="Calibri" w:eastAsia="Calibri" w:hAnsi="Calibri"/>
          <w:b w:val="false"/>
          <w:bCs w:val="false"/>
          <w:i w:val="false"/>
          <w:iCs w:val="false"/>
          <w:sz w:val="22"/>
          <w:szCs w:val="22"/>
        </w:rPr>
        <w:t xml:space="preserve">Het tweede doel is voorbereidend: het dossier dat deelnemers hier uitwerken (opdracht 9.8) is de basis voor de capstone in deel 10. Zorg dat iedereen dat huiswerk maakt; zonder dat wordt het laatste dagdeel dun.</w:t>
      </w:r>
    </w:p>
    <w:p>
      <w:pPr>
        <w:spacing w:after="100"/>
      </w:pPr>
    </w:p>
    <w:p>
      <w:pPr>
        <w:pStyle w:val="Heading2"/>
        <w:spacing w:after="120" w:before="200"/>
      </w:pPr>
      <w:r>
        <w:rPr>
          <w:rFonts w:ascii="Georgia" w:cs="Georgia" w:eastAsia="Georgia" w:hAnsi="Georgia"/>
          <w:b/>
          <w:bCs/>
          <w:color w:val="2563A8"/>
          <w:sz w:val="28"/>
          <w:szCs w:val="28"/>
        </w:rPr>
        <w:t xml:space="preserve">Tijdschema</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Werkvorm</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reis als tijdlijn, opdracht 9.1</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 figuur 9-1</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0:15–0:40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Start van de deelname en mutaties</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0:40–1:00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Het gat bij samenwonen, opdracht 9.2</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Duo’s, 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1:00–1:15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1:15–1:45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Waardeoverdracht, opdracht 9.3</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Drietallen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1:45–2:15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Scheiding: verevening, conversie, bijzonder PP</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 en opdracht 9.4/9.5</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2:15–2:40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Keuzes rond de pensioendatum, opdracht 9.6</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 met tabel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2:40–2:55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Het dossier van Karel, opdracht 9.7</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2:55–3:00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Huiswerk 9.8 en aankondiging capstone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Afsluiting</w:t>
            </w:r>
          </w:p>
        </w:tc>
      </w:tr>
    </w:tbl>
    <w:p>
      <w:pPr>
        <w:spacing w:after="100"/>
      </w:pPr>
    </w:p>
    <w:p>
      <w:pPr>
        <w:pStyle w:val="Heading2"/>
        <w:spacing w:after="120" w:before="200"/>
      </w:pPr>
      <w:r>
        <w:rPr>
          <w:rFonts w:ascii="Georgia" w:cs="Georgia" w:eastAsia="Georgia" w:hAnsi="Georgia"/>
          <w:b/>
          <w:bCs/>
          <w:color w:val="2563A8"/>
          <w:sz w:val="28"/>
          <w:szCs w:val="28"/>
        </w:rPr>
        <w:t xml:space="preserve">Aandachtspunten per onderdeel</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Openen met de tijdlijn.</w:t>
      </w:r>
      <w:r>
        <w:rPr>
          <w:rFonts w:ascii="Calibri" w:cs="Calibri" w:eastAsia="Calibri" w:hAnsi="Calibri"/>
          <w:b w:val="false"/>
          <w:bCs w:val="false"/>
          <w:i w:val="false"/>
          <w:iCs w:val="false"/>
          <w:sz w:val="22"/>
          <w:szCs w:val="22"/>
        </w:rPr>
        <w:t xml:space="preserve"> Teken de acht gebeurtenissen op de flap en laat de groep bij elke gebeurtenis roepen wie er moet handelen. Het inzicht komt vanzelf: bij samenwonen en scheiding moet de deelnemer zelf iets doen, en dat zijn precies de twee waar het fout gaat.</w:t>
      </w:r>
    </w:p>
    <w:p>
      <w:pPr>
        <w:spacing w:after="140" w:line="300"/>
      </w:pPr>
      <w:r>
        <w:rPr>
          <w:rFonts w:ascii="Calibri" w:cs="Calibri" w:eastAsia="Calibri" w:hAnsi="Calibri"/>
          <w:b w:val="false"/>
          <w:bCs w:val="false"/>
          <w:i w:val="false"/>
          <w:iCs w:val="false"/>
          <w:sz w:val="22"/>
          <w:szCs w:val="22"/>
        </w:rPr>
        <w:t xml:space="preserve">Formuleer het als kernzin:</w:t>
      </w:r>
    </w:p>
    <w:tbl>
      <w:tblPr>
        <w:tblW w:type="pct" w:w="100%"/>
        <w:tblBorders>
          <w:top w:val="single" w:color="F2F2F2" w:sz="2"/>
          <w:left w:val="single" w:color="2563A8"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Pensioenfouten ontstaan op overgangsmomenten, niet in de rustige jaren.</w:t>
            </w:r>
          </w:p>
        </w:tc>
      </w:tr>
    </w:tbl>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Start van de deelname.</w:t>
      </w:r>
      <w:r>
        <w:rPr>
          <w:rFonts w:ascii="Calibri" w:cs="Calibri" w:eastAsia="Calibri" w:hAnsi="Calibri"/>
          <w:b w:val="false"/>
          <w:bCs w:val="false"/>
          <w:i w:val="false"/>
          <w:iCs w:val="false"/>
          <w:sz w:val="22"/>
          <w:szCs w:val="22"/>
        </w:rPr>
        <w:t xml:space="preserve"> Kort houden, maar noem één transitiepunt expliciet: bij een werkgever met twee regelingen (deel 6) bepaalt de indiensttredingsdatum in welke regeling iemand terechtkomt — voor de rest van zijn loopbaan bij dat bedrijf. Dat maakt een administratieve datum tot een arbeidsvoorwaardelijk feit.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Het gat bij samenwonen (9.2).</w:t>
      </w:r>
      <w:r>
        <w:rPr>
          <w:rFonts w:ascii="Calibri" w:cs="Calibri" w:eastAsia="Calibri" w:hAnsi="Calibri"/>
          <w:b w:val="false"/>
          <w:bCs w:val="false"/>
          <w:i w:val="false"/>
          <w:iCs w:val="false"/>
          <w:sz w:val="22"/>
          <w:szCs w:val="22"/>
        </w:rPr>
        <w:t xml:space="preserve"> Dit is het emotionele anker van het dagdeel en het werkt beter dan welke uitleg over reglementaire definities ook. Vraag na afloop: wie van jullie heeft zelf ooit een partner aangemeld bij een pensioenuitvoerder? In een gemiddelde groep steken één of twee handen op — inclusief de mensen die in het vak werken. Dat maakt het punt onweerlegbaar.</w:t>
      </w:r>
    </w:p>
    <w:p>
      <w:pPr>
        <w:spacing w:after="140" w:line="300"/>
      </w:pPr>
      <w:r>
        <w:rPr>
          <w:rFonts w:ascii="Calibri" w:cs="Calibri" w:eastAsia="Calibri" w:hAnsi="Calibri"/>
          <w:b w:val="false"/>
          <w:bCs w:val="false"/>
          <w:i w:val="false"/>
          <w:iCs w:val="false"/>
          <w:sz w:val="22"/>
          <w:szCs w:val="22"/>
        </w:rPr>
        <w:t xml:space="preserve">Blijf feitelijk over de uitkomst: het reglement is beslissend en er zijn regelingen met ruimere definities of hersteltermijnen. Wat vaststaat is dat de deelnemer niet mag rekenen op automatische herkenning.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Waardeoverdracht (9.3).</w:t>
      </w:r>
      <w:r>
        <w:rPr>
          <w:rFonts w:ascii="Calibri" w:cs="Calibri" w:eastAsia="Calibri" w:hAnsi="Calibri"/>
          <w:b w:val="false"/>
          <w:bCs w:val="false"/>
          <w:i w:val="false"/>
          <w:iCs w:val="false"/>
          <w:sz w:val="22"/>
          <w:szCs w:val="22"/>
        </w:rPr>
        <w:t xml:space="preserve"> Corrigeer hier één wijdverbreide reflex: “alles bij elkaar zetten is netjes”. Overzicht is een reëel voordeel, maar het is er één van meerdere. Laat de groep de vijf punten verzamelen vóór je zelf iets noemt; de nabestaandendekking wordt bijna altijd vergeten.</w:t>
      </w:r>
    </w:p>
    <w:p>
      <w:pPr>
        <w:spacing w:after="140" w:line="300"/>
      </w:pPr>
      <w:r>
        <w:rPr>
          <w:rFonts w:ascii="Calibri" w:cs="Calibri" w:eastAsia="Calibri" w:hAnsi="Calibri"/>
          <w:b w:val="false"/>
          <w:bCs w:val="false"/>
          <w:i w:val="false"/>
          <w:iCs w:val="false"/>
          <w:sz w:val="22"/>
          <w:szCs w:val="22"/>
        </w:rPr>
        <w:t xml:space="preserve">Koppel terug naar deel 5: bij een verzekerde regeling die van uitvoerder wisselt, ontstaat binnen dezelfde werkgever een waardeoverdrachtsvraag. Deelnemers vinden dat contra-intuïtief en het is een van de nuttigste inzichten van niveau 1.</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Scheiding.</w:t>
      </w:r>
      <w:r>
        <w:rPr>
          <w:rFonts w:ascii="Calibri" w:cs="Calibri" w:eastAsia="Calibri" w:hAnsi="Calibri"/>
          <w:b w:val="false"/>
          <w:bCs w:val="false"/>
          <w:i w:val="false"/>
          <w:iCs w:val="false"/>
          <w:sz w:val="22"/>
          <w:szCs w:val="22"/>
        </w:rPr>
        <w:t xml:space="preserve"> Houd de juridische diepgang beperkt — dat is deel 22. Wat hier moet landen:</w:t>
      </w:r>
    </w:p>
    <w:p>
      <w:pPr>
        <w:pStyle w:val="ListParagraph"/>
        <w:numPr>
          <w:ilvl w:val="0"/>
          <w:numId w:val="1"/>
        </w:numPr>
        <w:spacing w:after="80"/>
      </w:pPr>
      <w:r>
        <w:rPr>
          <w:rFonts w:ascii="Calibri" w:cs="Calibri" w:eastAsia="Calibri" w:hAnsi="Calibri"/>
          <w:sz w:val="22"/>
          <w:szCs w:val="22"/>
        </w:rPr>
        <w:t xml:space="preserve">1. verevening versus conversie, met het verschil bij vooroverlijden;</w:t>
      </w:r>
    </w:p>
    <w:p>
      <w:pPr>
        <w:pStyle w:val="ListParagraph"/>
        <w:numPr>
          <w:ilvl w:val="0"/>
          <w:numId w:val="1"/>
        </w:numPr>
        <w:spacing w:after="80"/>
      </w:pPr>
      <w:r>
        <w:rPr>
          <w:rFonts w:ascii="Calibri" w:cs="Calibri" w:eastAsia="Calibri" w:hAnsi="Calibri"/>
          <w:sz w:val="22"/>
          <w:szCs w:val="22"/>
        </w:rPr>
        <w:t xml:space="preserve">2. de meldingstermijn voor rechtstreekse uitbetaling;</w:t>
      </w:r>
    </w:p>
    <w:p>
      <w:pPr>
        <w:pStyle w:val="ListParagraph"/>
        <w:numPr>
          <w:ilvl w:val="0"/>
          <w:numId w:val="1"/>
        </w:numPr>
        <w:spacing w:after="80"/>
      </w:pPr>
      <w:r>
        <w:rPr>
          <w:rFonts w:ascii="Calibri" w:cs="Calibri" w:eastAsia="Calibri" w:hAnsi="Calibri"/>
          <w:sz w:val="22"/>
          <w:szCs w:val="22"/>
        </w:rPr>
        <w:t xml:space="preserve">3. het bijzonder partnerpensioen dat bij een risicobasisregeling niet ontstaat.</w:t>
      </w:r>
    </w:p>
    <w:p>
      <w:pPr>
        <w:spacing w:after="140" w:line="300"/>
      </w:pPr>
      <w:r>
        <w:rPr>
          <w:rFonts w:ascii="Calibri" w:cs="Calibri" w:eastAsia="Calibri" w:hAnsi="Calibri"/>
          <w:b w:val="false"/>
          <w:bCs w:val="false"/>
          <w:i w:val="false"/>
          <w:iCs w:val="false"/>
          <w:sz w:val="22"/>
          <w:szCs w:val="22"/>
        </w:rPr>
        <w:t xml:space="preserve">Punt 3 is nieuw voor vrijwel iedereen en volgt rechtstreeks uit deel 8. Maak die koppeling zichtbaar op de flap. Het is bovendien een punt waarmee deelnemers zich in hun praktijk kunnen onderscheiden, want mediators en advocaten zijn er niet altijd op bedacht.</w:t>
      </w:r>
    </w:p>
    <w:p>
      <w:pPr>
        <w:spacing w:after="140" w:line="300"/>
      </w:pPr>
      <w:r>
        <w:rPr>
          <w:rFonts w:ascii="Calibri" w:cs="Calibri" w:eastAsia="Calibri" w:hAnsi="Calibri"/>
          <w:b w:val="false"/>
          <w:bCs w:val="false"/>
          <w:i w:val="false"/>
          <w:iCs w:val="false"/>
          <w:sz w:val="22"/>
          <w:szCs w:val="22"/>
        </w:rPr>
        <w:t xml:space="preserve">Wees bij de wetgevingsstand voorzichtig: er ligt al jaren een moderniseringsvoorstel dat nog niet in werking is. Zeg dat je de actuele stand vóór elke cursusronde controleert en doe dat ook.</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Keuzes rond de pensioendatum (9.6).</w:t>
      </w:r>
      <w:r>
        <w:rPr>
          <w:rFonts w:ascii="Calibri" w:cs="Calibri" w:eastAsia="Calibri" w:hAnsi="Calibri"/>
          <w:b w:val="false"/>
          <w:bCs w:val="false"/>
          <w:i w:val="false"/>
          <w:iCs w:val="false"/>
          <w:sz w:val="22"/>
          <w:szCs w:val="22"/>
        </w:rPr>
        <w:t xml:space="preserve"> Loop de tabel langs met steeds dezelfde vraag: wat kun je hierna nog terugdraaien? Dat is de gewoonte die je wilt aanleren.</w:t>
      </w:r>
    </w:p>
    <w:p>
      <w:pPr>
        <w:spacing w:after="140" w:line="300"/>
      </w:pPr>
      <w:r>
        <w:rPr>
          <w:rFonts w:ascii="Calibri" w:cs="Calibri" w:eastAsia="Calibri" w:hAnsi="Calibri"/>
          <w:b w:val="false"/>
          <w:bCs w:val="false"/>
          <w:i w:val="false"/>
          <w:iCs w:val="false"/>
          <w:sz w:val="22"/>
          <w:szCs w:val="22"/>
        </w:rPr>
        <w:t xml:space="preserve">Bij het bedrag ineens: benoem dat het wettelijk is geregeld maar dat de inwerkingtreding meermalen is uitgesteld, laatstelijk naar 1 januari 2029, om de sector eerst de transitie te laten afronden. Waarschuw voor het communicatierisico: er zijn deelnemers die hun pensioendatum uitstellen in de verwachting dat de mogelijkheid er dan is. Controleer de stand vóór elke sessie.</w:t>
      </w:r>
    </w:p>
    <w:p>
      <w:pPr>
        <w:spacing w:after="140" w:line="300"/>
      </w:pPr>
      <w:r>
        <w:rPr>
          <w:rFonts w:ascii="Calibri" w:cs="Calibri" w:eastAsia="Calibri" w:hAnsi="Calibri"/>
          <w:b w:val="false"/>
          <w:bCs w:val="false"/>
          <w:i w:val="false"/>
          <w:iCs w:val="false"/>
          <w:sz w:val="22"/>
          <w:szCs w:val="22"/>
        </w:rPr>
        <w:t xml:space="preserve">Bij het shoprecht: koppel terug naar de premie-uitkeringsovereenkomst uit deel 3 — geen kapitaal, dus niets te shoppen. Dat is een verkoopargument dat vooraf moet vallen, niet een verrassing achteraf.</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Het dossier van Karel (9.7).</w:t>
      </w:r>
      <w:r>
        <w:rPr>
          <w:rFonts w:ascii="Calibri" w:cs="Calibri" w:eastAsia="Calibri" w:hAnsi="Calibri"/>
          <w:b w:val="false"/>
          <w:bCs w:val="false"/>
          <w:i w:val="false"/>
          <w:iCs w:val="false"/>
          <w:sz w:val="22"/>
          <w:szCs w:val="22"/>
        </w:rPr>
        <w:t xml:space="preserve"> Sluit hiermee af. De vraag “wie overziet dit geheel?” en het antwoord “niemand automatisch” is de beste opmaat naar deel 10 en naar niveau 2 die er is. Zeg erbij dat dit precies de reden is dat het vak bestaat — dat werkt motiverend en het is waar.</w:t>
      </w:r>
    </w:p>
    <w:p>
      <w:pPr>
        <w:spacing w:after="100"/>
      </w:pPr>
    </w:p>
    <w:p>
      <w:pPr>
        <w:pStyle w:val="Heading2"/>
        <w:spacing w:after="120" w:before="200"/>
      </w:pPr>
      <w:r>
        <w:rPr>
          <w:rFonts w:ascii="Georgia" w:cs="Georgia" w:eastAsia="Georgia" w:hAnsi="Georgia"/>
          <w:b/>
          <w:bCs/>
          <w:color w:val="2563A8"/>
          <w:sz w:val="28"/>
          <w:szCs w:val="28"/>
        </w:rPr>
        <w:t xml:space="preserve">Veelgestelde vragen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“Is waardeoverdracht nu wel of niet verstandig?”</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Dat hangt af van de vijf punten uit opdracht 9.3. Weiger een algemeen antwoord te geven en modelleer dat gedrag: “dat kan ik niet zeggen zonder het oude reglement te zien” is een professioneel antwoord, geen ontwijking.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“Mag de werkgever een medewerker helpen bij deze keuzes?”</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Informeren mag altijd; adviseren over financiële producten is gereguleerd. In de praktijk gaan werkgevers hier vaak te ver. Verwijs naar deel 18 (zorgplicht en vergunningplicht).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“Wat als een scheiding nooit is gemeld?”</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Het recht op verdeling vervalt niet, maar de rechtstreekse uitbetaling door de uitvoerder wel. De verrekening moet dan onderling. In de praktijk levert dat dertig jaar later grote problemen op, zeker als één van beiden is overleden of onvindbaar.</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“Ziet een deelnemer alles op mijnpensioenoverzicht.nl?”</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Veel, maar niet alles, en zeker niet de voorwaarden. Het is een startpunt voor een gesprek, geen dossier.</w:t>
      </w:r>
    </w:p>
    <w:p>
      <w:pPr>
        <w:spacing w:after="100"/>
      </w:pPr>
    </w:p>
    <w:p>
      <w:pPr>
        <w:pStyle w:val="Heading2"/>
        <w:spacing w:after="120" w:before="200"/>
      </w:pPr>
      <w:r>
        <w:rPr>
          <w:rFonts w:ascii="Georgia" w:cs="Georgia" w:eastAsia="Georgia" w:hAnsi="Georgia"/>
          <w:b/>
          <w:bCs/>
          <w:color w:val="2563A8"/>
          <w:sz w:val="28"/>
          <w:szCs w:val="28"/>
        </w:rPr>
        <w:t xml:space="preserve">Voorbereiding en materiaal</w:t>
      </w:r>
    </w:p>
    <w:p>
      <w:pPr>
        <w:pStyle w:val="ListParagraph"/>
        <w:numPr>
          <w:ilvl w:val="0"/>
          <w:numId w:val="1"/>
        </w:numPr>
        <w:spacing w:after="80"/>
      </w:pPr>
      <w:r>
        <w:rPr>
          <w:rFonts w:ascii="Calibri" w:cs="Calibri" w:eastAsia="Calibri" w:hAnsi="Calibri"/>
          <w:sz w:val="22"/>
          <w:szCs w:val="22"/>
        </w:rPr>
        <w:t xml:space="preserve">Flap met de tijdlijn van acht gebeurtenissen</w:t>
      </w:r>
    </w:p>
    <w:p>
      <w:pPr>
        <w:pStyle w:val="ListParagraph"/>
        <w:numPr>
          <w:ilvl w:val="0"/>
          <w:numId w:val="1"/>
        </w:numPr>
        <w:spacing w:after="80"/>
      </w:pPr>
      <w:r>
        <w:rPr>
          <w:rFonts w:ascii="Calibri" w:cs="Calibri" w:eastAsia="Calibri" w:hAnsi="Calibri"/>
          <w:sz w:val="22"/>
          <w:szCs w:val="22"/>
        </w:rPr>
        <w:t xml:space="preserve">Actuele stand gecontroleerd van: het keuzerecht bedrag ineens, het wetsvoorstel pensioenverdeling bij scheiding, en de afkoop- en overdrachtsgrenzen voor kleine pensioenen</w:t>
      </w:r>
    </w:p>
    <w:p>
      <w:pPr>
        <w:pStyle w:val="ListParagraph"/>
        <w:numPr>
          <w:ilvl w:val="0"/>
          <w:numId w:val="1"/>
        </w:numPr>
        <w:spacing w:after="80"/>
      </w:pPr>
      <w:r>
        <w:rPr>
          <w:rFonts w:ascii="Calibri" w:cs="Calibri" w:eastAsia="Calibri" w:hAnsi="Calibri"/>
          <w:sz w:val="22"/>
          <w:szCs w:val="22"/>
        </w:rPr>
        <w:t xml:space="preserve">Optioneel en zeer effectief: een echte, geanonimiseerde partnerdefinitie uit een pensioenreglement. Laat deelnemers bepalen of Sanne uit opdracht 9.2 eronder valt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Huiswerk:</w:t>
      </w:r>
      <w:r>
        <w:rPr>
          <w:rFonts w:ascii="Calibri" w:cs="Calibri" w:eastAsia="Calibri" w:hAnsi="Calibri"/>
          <w:b w:val="false"/>
          <w:bCs w:val="false"/>
          <w:i w:val="false"/>
          <w:iCs w:val="false"/>
          <w:sz w:val="22"/>
          <w:szCs w:val="22"/>
        </w:rPr>
        <w:t xml:space="preserve"> opdracht 9.8. Dit is de voorbereiding op de capstone in deel 10. Zeg dat er in het laatste dagdeel een examentraining is én een verdediging van een transitieadvies voor Van Doorn Techniek, en dat de nulmeting uit opdracht 1.1 terugkomt. Vraag deelnemers hun antwoorden van toen mee te nemen.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Nederlandse pensioenverzekering · Niveau 1 — Fundament · Deel 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2026-08-17T11:22:44.385Z</dcterms:created>
  <dcterms:modified xsi:type="dcterms:W3CDTF">2026-08-17T11:22:44.385Z</dcterms:modified>
</cp:coreProperties>
</file>

<file path=docProps/custom.xml><?xml version="1.0" encoding="utf-8"?>
<Properties xmlns="http://schemas.openxmlformats.org/officeDocument/2006/custom-properties" xmlns:vt="http://schemas.openxmlformats.org/officeDocument/2006/docPropsVTypes"/>
</file>