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Reader — Deel 9 — De deelnemersreis</w:t>
      </w:r>
    </w:p>
    <w:p>
      <w:pPr>
        <w:spacing w:after="300"/>
      </w:pPr>
      <w:r>
        <w:rPr>
          <w:rFonts w:ascii="Calibri" w:cs="Calibri" w:eastAsia="Calibri" w:hAnsi="Calibri"/>
          <w:i/>
          <w:iCs/>
          <w:color w:val="2563A8"/>
          <w:sz w:val="22"/>
          <w:szCs w:val="22"/>
        </w:rPr>
        <w:t xml:space="preserve">Niveau 1 — Fundament · Nederlandse pensioenverzekering</w:t>
      </w:r>
    </w:p>
    <w:p>
      <w:pPr>
        <w:pStyle w:val="Heading1"/>
        <w:pBdr>
          <w:bottom w:val="single" w:color="14213D" w:sz="12" w:space="4"/>
        </w:pBdr>
        <w:spacing w:after="160" w:before="240"/>
      </w:pPr>
      <w:r>
        <w:rPr>
          <w:rFonts w:ascii="Georgia" w:cs="Georgia" w:eastAsia="Georgia" w:hAnsi="Georgia"/>
          <w:b/>
          <w:bCs/>
          <w:color w:val="14213D"/>
          <w:sz w:val="36"/>
          <w:szCs w:val="36"/>
        </w:rPr>
        <w:t xml:space="preserve">Deel 9 — De deelnemersreis</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Niveau 1 · Fundament · Deelnemersreader</w:t>
      </w:r>
      <w:r>
        <w:rPr>
          <w:rFonts w:ascii="Calibri" w:cs="Calibri" w:eastAsia="Calibri" w:hAnsi="Calibri"/>
          <w:b w:val="false"/>
          <w:bCs w:val="false"/>
          <w:i w:val="false"/>
          <w:iCs w:val="false"/>
          <w:sz w:val="22"/>
          <w:szCs w:val="22"/>
        </w:rPr>
        <w:t xml:space="preserve"/>
      </w:r>
    </w:p>
    <w:p>
      <w:pPr>
        <w:spacing w:after="100"/>
      </w:pPr>
    </w:p>
    <w:p>
      <w:pPr>
        <w:pStyle w:val="Heading2"/>
        <w:spacing w:after="120" w:before="200"/>
      </w:pPr>
      <w:r>
        <w:rPr>
          <w:rFonts w:ascii="Georgia" w:cs="Georgia" w:eastAsia="Georgia" w:hAnsi="Georgia"/>
          <w:b/>
          <w:bCs/>
          <w:color w:val="2563A8"/>
          <w:sz w:val="28"/>
          <w:szCs w:val="28"/>
        </w:rPr>
        <w:t xml:space="preserve">9.1 Leerdoelen</w:t>
      </w:r>
    </w:p>
    <w:p>
      <w:pPr>
        <w:spacing w:after="140" w:line="300"/>
      </w:pPr>
      <w:r>
        <w:rPr>
          <w:rFonts w:ascii="Calibri" w:cs="Calibri" w:eastAsia="Calibri" w:hAnsi="Calibri"/>
          <w:b w:val="false"/>
          <w:bCs w:val="false"/>
          <w:i w:val="false"/>
          <w:iCs w:val="false"/>
          <w:sz w:val="22"/>
          <w:szCs w:val="22"/>
        </w:rPr>
        <w:t xml:space="preserve">Na dit deel kun je:</w:t>
      </w:r>
    </w:p>
    <w:p>
      <w:pPr>
        <w:pStyle w:val="ListParagraph"/>
        <w:numPr>
          <w:ilvl w:val="0"/>
          <w:numId w:val="1"/>
        </w:numPr>
        <w:spacing w:after="80"/>
      </w:pPr>
      <w:r>
        <w:rPr>
          <w:rFonts w:ascii="Calibri" w:cs="Calibri" w:eastAsia="Calibri" w:hAnsi="Calibri"/>
          <w:sz w:val="22"/>
          <w:szCs w:val="22"/>
        </w:rPr>
        <w:t xml:space="preserve">1. de gebeurtenissen in een deelnemersleven benoemen die een handeling vragen van werkgever, uitvoerder of deelnemer;</w:t>
      </w:r>
    </w:p>
    <w:p>
      <w:pPr>
        <w:pStyle w:val="ListParagraph"/>
        <w:numPr>
          <w:ilvl w:val="0"/>
          <w:numId w:val="1"/>
        </w:numPr>
        <w:spacing w:after="80"/>
      </w:pPr>
      <w:r>
        <w:rPr>
          <w:rFonts w:ascii="Calibri" w:cs="Calibri" w:eastAsia="Calibri" w:hAnsi="Calibri"/>
          <w:sz w:val="22"/>
          <w:szCs w:val="22"/>
        </w:rPr>
        <w:t xml:space="preserve">2. uitleggen wat waardeoverdracht is, wanneer zij automatisch gebeurt en wanneer op verzoek;</w:t>
      </w:r>
    </w:p>
    <w:p>
      <w:pPr>
        <w:pStyle w:val="ListParagraph"/>
        <w:numPr>
          <w:ilvl w:val="0"/>
          <w:numId w:val="1"/>
        </w:numPr>
        <w:spacing w:after="80"/>
      </w:pPr>
      <w:r>
        <w:rPr>
          <w:rFonts w:ascii="Calibri" w:cs="Calibri" w:eastAsia="Calibri" w:hAnsi="Calibri"/>
          <w:sz w:val="22"/>
          <w:szCs w:val="22"/>
        </w:rPr>
        <w:t xml:space="preserve">3. de hoofdlijn van pensioenverdeling bij scheiding beschrijven, inclusief het onderscheid tussen verevening en conversie en de rol van het bijzonder partnerpensioen;</w:t>
      </w:r>
    </w:p>
    <w:p>
      <w:pPr>
        <w:pStyle w:val="ListParagraph"/>
        <w:numPr>
          <w:ilvl w:val="0"/>
          <w:numId w:val="1"/>
        </w:numPr>
        <w:spacing w:after="80"/>
      </w:pPr>
      <w:r>
        <w:rPr>
          <w:rFonts w:ascii="Calibri" w:cs="Calibri" w:eastAsia="Calibri" w:hAnsi="Calibri"/>
          <w:sz w:val="22"/>
          <w:szCs w:val="22"/>
        </w:rPr>
        <w:t xml:space="preserve">4. de keuzemomenten rond de pensioendatum benoemen en per keuze zeggen wat er onomkeerbaar aan is;</w:t>
      </w:r>
    </w:p>
    <w:p>
      <w:pPr>
        <w:pStyle w:val="ListParagraph"/>
        <w:numPr>
          <w:ilvl w:val="0"/>
          <w:numId w:val="1"/>
        </w:numPr>
        <w:spacing w:after="80"/>
      </w:pPr>
      <w:r>
        <w:rPr>
          <w:rFonts w:ascii="Calibri" w:cs="Calibri" w:eastAsia="Calibri" w:hAnsi="Calibri"/>
          <w:sz w:val="22"/>
          <w:szCs w:val="22"/>
        </w:rPr>
        <w:t xml:space="preserve">5. beoordelen op welke momenten in de reis de grootste risico’s op fouten en op teleurstelling zitten;</w:t>
      </w:r>
    </w:p>
    <w:p>
      <w:pPr>
        <w:pStyle w:val="ListParagraph"/>
        <w:numPr>
          <w:ilvl w:val="0"/>
          <w:numId w:val="1"/>
        </w:numPr>
        <w:spacing w:after="80"/>
      </w:pPr>
      <w:r>
        <w:rPr>
          <w:rFonts w:ascii="Calibri" w:cs="Calibri" w:eastAsia="Calibri" w:hAnsi="Calibri"/>
          <w:sz w:val="22"/>
          <w:szCs w:val="22"/>
        </w:rPr>
        <w:t xml:space="preserve">6. de vier analysevragen en de scheidslijnkaart toepassen op het dossier van één individuele deelnemer.</w:t>
      </w:r>
    </w:p>
    <w:p>
      <w:pPr>
        <w:spacing w:after="100"/>
      </w:pPr>
    </w:p>
    <w:p>
      <w:pPr>
        <w:pStyle w:val="Heading2"/>
        <w:spacing w:after="120" w:before="200"/>
      </w:pPr>
      <w:r>
        <w:rPr>
          <w:rFonts w:ascii="Georgia" w:cs="Georgia" w:eastAsia="Georgia" w:hAnsi="Georgia"/>
          <w:b/>
          <w:bCs/>
          <w:color w:val="2563A8"/>
          <w:sz w:val="28"/>
          <w:szCs w:val="28"/>
        </w:rPr>
        <w:t xml:space="preserve">9.2 Waarom een reis en geen opsomming</w:t>
      </w:r>
    </w:p>
    <w:p>
      <w:pPr>
        <w:spacing w:after="140" w:line="300"/>
      </w:pPr>
      <w:r>
        <w:rPr>
          <w:rFonts w:ascii="Calibri" w:cs="Calibri" w:eastAsia="Calibri" w:hAnsi="Calibri"/>
          <w:b w:val="false"/>
          <w:bCs w:val="false"/>
          <w:i w:val="false"/>
          <w:iCs w:val="false"/>
          <w:sz w:val="22"/>
          <w:szCs w:val="22"/>
        </w:rPr>
        <w:t xml:space="preserve">Tot nu toe keken we naar regelingen. Dit deel kijkt naar één mens met één dossier, van zijn eerste werkdag tot na zijn overlijden.</w:t>
      </w:r>
    </w:p>
    <w:p>
      <w:pPr>
        <w:spacing w:after="140" w:line="300"/>
      </w:pPr>
      <w:r>
        <w:rPr>
          <w:rFonts w:ascii="Calibri" w:cs="Calibri" w:eastAsia="Calibri" w:hAnsi="Calibri"/>
          <w:b w:val="false"/>
          <w:bCs w:val="false"/>
          <w:i w:val="false"/>
          <w:iCs w:val="false"/>
          <w:sz w:val="22"/>
          <w:szCs w:val="22"/>
        </w:rPr>
        <w:t xml:space="preserve">Dat perspectief levert iets op wat je vanuit de regeling niet ziet: </w:t>
      </w:r>
      <w:r>
        <w:rPr>
          <w:rFonts w:ascii="Calibri" w:cs="Calibri" w:eastAsia="Calibri" w:hAnsi="Calibri"/>
          <w:b/>
          <w:bCs/>
          <w:i w:val="false"/>
          <w:iCs w:val="false"/>
          <w:sz w:val="22"/>
          <w:szCs w:val="22"/>
        </w:rPr>
        <w:t xml:space="preserve">de meeste pensioenfouten ontstaan op overgangsmomenten.</w:t>
      </w:r>
      <w:r>
        <w:rPr>
          <w:rFonts w:ascii="Calibri" w:cs="Calibri" w:eastAsia="Calibri" w:hAnsi="Calibri"/>
          <w:b w:val="false"/>
          <w:bCs w:val="false"/>
          <w:i w:val="false"/>
          <w:iCs w:val="false"/>
          <w:sz w:val="22"/>
          <w:szCs w:val="22"/>
        </w:rPr>
        <w:t xml:space="preserve"> Niet tijdens de rustige jaren waarin er premie wordt betaald en er niets gebeurt, maar bij indiensttreding, uitdiensttreding, scheiding, ziekte en pensionering. Op die momenten moet iemand iets doen — een mutatie doorgeven, een keuze maken, een termijn halen — en juist dan gaat het mis.</w:t>
      </w:r>
    </w:p>
    <w:p>
      <w:pPr>
        <w:spacing w:after="80" w:before="160"/>
        <w:jc w:val="center"/>
      </w:pPr>
      <w:r>
        <w:drawing>
          <wp:inline distT="0" distB="0" distL="0" distR="0">
            <wp:extent cx="438150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18478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9-1 — De deelnemersreis als tijdlijn met acht gebeurtenissen en per gebeurtenis wie er moet handelen</w:t>
      </w:r>
    </w:p>
    <w:p>
      <w:pPr>
        <w:spacing w:after="100"/>
      </w:pPr>
    </w:p>
    <w:p>
      <w:pPr>
        <w:pStyle w:val="Heading2"/>
        <w:spacing w:after="120" w:before="200"/>
      </w:pPr>
      <w:r>
        <w:rPr>
          <w:rFonts w:ascii="Georgia" w:cs="Georgia" w:eastAsia="Georgia" w:hAnsi="Georgia"/>
          <w:b/>
          <w:bCs/>
          <w:color w:val="2563A8"/>
          <w:sz w:val="28"/>
          <w:szCs w:val="28"/>
        </w:rPr>
        <w:t xml:space="preserve">9.3 Start van de deelname</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Toetreding.</w:t>
      </w:r>
      <w:r>
        <w:rPr>
          <w:rFonts w:ascii="Calibri" w:cs="Calibri" w:eastAsia="Calibri" w:hAnsi="Calibri"/>
          <w:b w:val="false"/>
          <w:bCs w:val="false"/>
          <w:i w:val="false"/>
          <w:iCs w:val="false"/>
          <w:sz w:val="22"/>
          <w:szCs w:val="22"/>
        </w:rPr>
        <w:t xml:space="preserve"> De deelname begint volgens de regels van het pensioenreglement. Onder de Wtp is de toetredingsleeftijd verlaagd naar 18 jaar: jongeren bouwen daardoor eerder op. Wachttijden en drempelperioden zijn beperkt en niet in elke regelingsvorm toegestaan; controleer wat het reglement zegt.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 eerste informatie.</w:t>
      </w:r>
      <w:r>
        <w:rPr>
          <w:rFonts w:ascii="Calibri" w:cs="Calibri" w:eastAsia="Calibri" w:hAnsi="Calibri"/>
          <w:b w:val="false"/>
          <w:bCs w:val="false"/>
          <w:i w:val="false"/>
          <w:iCs w:val="false"/>
          <w:sz w:val="22"/>
          <w:szCs w:val="22"/>
        </w:rPr>
        <w:t xml:space="preserve"> De uitvoerder informeert de nieuwe deelnemer over de hoofdlijnen van de regeling, de risico’s en de keuzemogelijkheden. Dit is het moment waarop de deelnemer voor het eerst — en vaak voor het laatst — actief kennisneemt van zijn regeling.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Wat er misgaat.</w:t>
      </w:r>
      <w:r>
        <w:rPr>
          <w:rFonts w:ascii="Calibri" w:cs="Calibri" w:eastAsia="Calibri" w:hAnsi="Calibri"/>
          <w:b w:val="false"/>
          <w:bCs w:val="false"/>
          <w:i w:val="false"/>
          <w:iCs w:val="false"/>
          <w:sz w:val="22"/>
          <w:szCs w:val="22"/>
        </w:rPr>
        <w:t xml:space="preserve"> De klassieke fout is een te late of onjuiste aanmelding door de werkgever. Gevolgen: geen risicodekking in de tussenliggende periode, ontbrekende opbouw, en een correctie achteraf die administratief kostbaar is. De aanmeldstroom hoort daarom tot de kritische processen van elke uitvoerder — deel 19.</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Aandachtspunt in de transitie.</w:t>
      </w:r>
      <w:r>
        <w:rPr>
          <w:rFonts w:ascii="Calibri" w:cs="Calibri" w:eastAsia="Calibri" w:hAnsi="Calibri"/>
          <w:b w:val="false"/>
          <w:bCs w:val="false"/>
          <w:i w:val="false"/>
          <w:iCs w:val="false"/>
          <w:sz w:val="22"/>
          <w:szCs w:val="22"/>
        </w:rPr>
        <w:t xml:space="preserve"> Wie ná het omzetmoment in dienst treedt, komt in de nieuwe, vlakke regeling terecht en niet in de gesloten groep (deel 6). Bij een werkgever met twee regelingen is de indiensttredingsdatum dus bepalend voor de rest van iemands loopbaan bij dat bedrijf. Dat vraagt om een waterdichte administratie van het toetredingsmoment.</w:t>
      </w:r>
    </w:p>
    <w:p>
      <w:pPr>
        <w:spacing w:after="100"/>
      </w:pPr>
    </w:p>
    <w:p>
      <w:pPr>
        <w:pStyle w:val="Heading2"/>
        <w:spacing w:after="120" w:before="200"/>
      </w:pPr>
      <w:r>
        <w:rPr>
          <w:rFonts w:ascii="Georgia" w:cs="Georgia" w:eastAsia="Georgia" w:hAnsi="Georgia"/>
          <w:b/>
          <w:bCs/>
          <w:color w:val="2563A8"/>
          <w:sz w:val="28"/>
          <w:szCs w:val="28"/>
        </w:rPr>
        <w:t xml:space="preserve">9.4 Tijdens het dienstverband</w:t>
      </w:r>
    </w:p>
    <w:p>
      <w:pPr>
        <w:spacing w:after="140" w:line="300"/>
      </w:pPr>
      <w:r>
        <w:rPr>
          <w:rFonts w:ascii="Calibri" w:cs="Calibri" w:eastAsia="Calibri" w:hAnsi="Calibri"/>
          <w:b w:val="false"/>
          <w:bCs w:val="false"/>
          <w:i w:val="false"/>
          <w:iCs w:val="false"/>
          <w:sz w:val="22"/>
          <w:szCs w:val="22"/>
        </w:rPr>
        <w:t xml:space="preserve">Gebeurtenissen die een mutatie vragen:</w:t>
      </w:r>
    </w:p>
    <w:p>
      <w:pPr>
        <w:pStyle w:val="ListParagraph"/>
        <w:numPr>
          <w:ilvl w:val="0"/>
          <w:numId w:val="1"/>
        </w:numPr>
        <w:spacing w:after="80"/>
      </w:pPr>
      <w:r>
        <w:rPr>
          <w:rFonts w:ascii="Calibri" w:cs="Calibri" w:eastAsia="Calibri" w:hAnsi="Calibri"/>
          <w:sz w:val="22"/>
          <w:szCs w:val="22"/>
        </w:rPr>
        <w:t xml:space="preserve">salariswijziging — raakt de grondslag en daarmee premie en dekkingen;</w:t>
      </w:r>
    </w:p>
    <w:p>
      <w:pPr>
        <w:pStyle w:val="ListParagraph"/>
        <w:numPr>
          <w:ilvl w:val="0"/>
          <w:numId w:val="1"/>
        </w:numPr>
        <w:spacing w:after="80"/>
      </w:pPr>
      <w:r>
        <w:rPr>
          <w:rFonts w:ascii="Calibri" w:cs="Calibri" w:eastAsia="Calibri" w:hAnsi="Calibri"/>
          <w:sz w:val="22"/>
          <w:szCs w:val="22"/>
        </w:rPr>
        <w:t xml:space="preserve">wijziging arbeidsduur — deeltijdfactor werkt door in grondslag, premie en risicodekkingen;</w:t>
      </w:r>
    </w:p>
    <w:p>
      <w:pPr>
        <w:pStyle w:val="ListParagraph"/>
        <w:numPr>
          <w:ilvl w:val="0"/>
          <w:numId w:val="1"/>
        </w:numPr>
        <w:spacing w:after="80"/>
      </w:pPr>
      <w:r>
        <w:rPr>
          <w:rFonts w:ascii="Calibri" w:cs="Calibri" w:eastAsia="Calibri" w:hAnsi="Calibri"/>
          <w:sz w:val="22"/>
          <w:szCs w:val="22"/>
        </w:rPr>
        <w:t xml:space="preserve">onbetaald verlof of ouderschapsverlof — de regeling bepaalt of opbouw en dekking doorlopen; hier ontstaan gaten die pas veel later zichtbaar worden;</w:t>
      </w:r>
    </w:p>
    <w:p>
      <w:pPr>
        <w:pStyle w:val="ListParagraph"/>
        <w:numPr>
          <w:ilvl w:val="0"/>
          <w:numId w:val="1"/>
        </w:numPr>
        <w:spacing w:after="80"/>
      </w:pPr>
      <w:r>
        <w:rPr>
          <w:rFonts w:ascii="Calibri" w:cs="Calibri" w:eastAsia="Calibri" w:hAnsi="Calibri"/>
          <w:sz w:val="22"/>
          <w:szCs w:val="22"/>
        </w:rPr>
        <w:t xml:space="preserve">arbeidsongeschiktheid — premievrijstelling en arbeidsongeschiktheidspensioen (deel 8);</w:t>
      </w:r>
    </w:p>
    <w:p>
      <w:pPr>
        <w:pStyle w:val="ListParagraph"/>
        <w:numPr>
          <w:ilvl w:val="0"/>
          <w:numId w:val="1"/>
        </w:numPr>
        <w:spacing w:after="80"/>
      </w:pPr>
      <w:r>
        <w:rPr>
          <w:rFonts w:ascii="Calibri" w:cs="Calibri" w:eastAsia="Calibri" w:hAnsi="Calibri"/>
          <w:sz w:val="22"/>
          <w:szCs w:val="22"/>
        </w:rPr>
        <w:t xml:space="preserve">partnerschap — bij ongehuwd samenwonen geldt in veel regelingen een aanmeldplicht voor de partner. Wie dat nalaat, ontdekt het gevolg pas na een overlijden. Dit is een van de wrangste fouten in het hele vak, en zij is met één brief te voorkomen;</w:t>
      </w:r>
    </w:p>
    <w:p>
      <w:pPr>
        <w:pStyle w:val="ListParagraph"/>
        <w:numPr>
          <w:ilvl w:val="0"/>
          <w:numId w:val="1"/>
        </w:numPr>
        <w:spacing w:after="80"/>
      </w:pPr>
      <w:r>
        <w:rPr>
          <w:rFonts w:ascii="Calibri" w:cs="Calibri" w:eastAsia="Calibri" w:hAnsi="Calibri"/>
          <w:sz w:val="22"/>
          <w:szCs w:val="22"/>
        </w:rPr>
        <w:t xml:space="preserve">kinderen — relevant voor het wezenpensioen.</w:t>
      </w:r>
    </w:p>
    <w:p>
      <w:pPr>
        <w:spacing w:after="140" w:line="300"/>
      </w:pPr>
      <w:r>
        <w:rPr>
          <w:rFonts w:ascii="Calibri" w:cs="Calibri" w:eastAsia="Calibri" w:hAnsi="Calibri"/>
          <w:b w:val="false"/>
          <w:bCs w:val="false"/>
          <w:i w:val="false"/>
          <w:iCs w:val="false"/>
          <w:sz w:val="22"/>
          <w:szCs w:val="22"/>
        </w:rPr>
        <w:t xml:space="preserve">De rode draad: al deze gebeurtenissen komen bij de uitvoerder binnen via de werkgever, niet via de deelnemer. De kwaliteit van de pensioenadministratie is daarmee grotendeels de kwaliteit van de salarisadministratie.</w:t>
      </w:r>
    </w:p>
    <w:p>
      <w:pPr>
        <w:spacing w:after="100"/>
      </w:pPr>
    </w:p>
    <w:p>
      <w:pPr>
        <w:pStyle w:val="Heading2"/>
        <w:spacing w:after="120" w:before="200"/>
      </w:pPr>
      <w:r>
        <w:rPr>
          <w:rFonts w:ascii="Georgia" w:cs="Georgia" w:eastAsia="Georgia" w:hAnsi="Georgia"/>
          <w:b/>
          <w:bCs/>
          <w:color w:val="2563A8"/>
          <w:sz w:val="28"/>
          <w:szCs w:val="28"/>
        </w:rPr>
        <w:t xml:space="preserve">9.5 Uit dienst: waardeoverdracht</w:t>
      </w:r>
    </w:p>
    <w:p>
      <w:pPr>
        <w:spacing w:after="140" w:line="300"/>
      </w:pPr>
      <w:r>
        <w:rPr>
          <w:rFonts w:ascii="Calibri" w:cs="Calibri" w:eastAsia="Calibri" w:hAnsi="Calibri"/>
          <w:b w:val="false"/>
          <w:bCs w:val="false"/>
          <w:i w:val="false"/>
          <w:iCs w:val="false"/>
          <w:sz w:val="22"/>
          <w:szCs w:val="22"/>
        </w:rPr>
        <w:t xml:space="preserve">Bij vertrek blijft het opgebouwde pensioen in beginsel staan bij de oude uitvoerder: de deelnemer wordt </w:t>
      </w:r>
      <w:r>
        <w:rPr>
          <w:rFonts w:ascii="Calibri" w:cs="Calibri" w:eastAsia="Calibri" w:hAnsi="Calibri"/>
          <w:b w:val="false"/>
          <w:bCs w:val="false"/>
          <w:i/>
          <w:iCs/>
          <w:sz w:val="22"/>
          <w:szCs w:val="22"/>
        </w:rPr>
        <w:t xml:space="preserve">gewezen deelnemer</w:t>
      </w:r>
      <w:r>
        <w:rPr>
          <w:rFonts w:ascii="Calibri" w:cs="Calibri" w:eastAsia="Calibri" w:hAnsi="Calibri"/>
          <w:b w:val="false"/>
          <w:bCs w:val="false"/>
          <w:i w:val="false"/>
          <w:iCs w:val="false"/>
          <w:sz w:val="22"/>
          <w:szCs w:val="22"/>
        </w:rPr>
        <w:t xml:space="preserve">, in het spraakgebruik slaper. De risicodekkingen vervallen, met de vangnetten uit deel 8.</w:t>
      </w:r>
    </w:p>
    <w:p>
      <w:pPr>
        <w:spacing w:after="140" w:line="300"/>
      </w:pPr>
      <w:r>
        <w:rPr>
          <w:rFonts w:ascii="Calibri" w:cs="Calibri" w:eastAsia="Calibri" w:hAnsi="Calibri"/>
          <w:b w:val="false"/>
          <w:bCs w:val="false"/>
          <w:i w:val="false"/>
          <w:iCs w:val="false"/>
          <w:sz w:val="22"/>
          <w:szCs w:val="22"/>
        </w:rPr>
        <w:t xml:space="preserve">Er zijn drie routes voor het achtergebleven pensioen.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1. Laten staan.</w:t>
      </w:r>
      <w:r>
        <w:rPr>
          <w:rFonts w:ascii="Calibri" w:cs="Calibri" w:eastAsia="Calibri" w:hAnsi="Calibri"/>
          <w:b w:val="false"/>
          <w:bCs w:val="false"/>
          <w:i w:val="false"/>
          <w:iCs w:val="false"/>
          <w:sz w:val="22"/>
          <w:szCs w:val="22"/>
        </w:rPr>
        <w:t xml:space="preserve"> Vaak de eenvoudigste keuze, maar zij levert versnippering op: een loopbaan met vijf werkgevers geeft vijf potjes met vijf sets voorwaarden, kosten en uitkeringsvormen.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2. Individuele waardeoverdracht op verzoek.</w:t>
      </w:r>
      <w:r>
        <w:rPr>
          <w:rFonts w:ascii="Calibri" w:cs="Calibri" w:eastAsia="Calibri" w:hAnsi="Calibri"/>
          <w:b w:val="false"/>
          <w:bCs w:val="false"/>
          <w:i w:val="false"/>
          <w:iCs w:val="false"/>
          <w:sz w:val="22"/>
          <w:szCs w:val="22"/>
        </w:rPr>
        <w:t xml:space="preserve"> De deelnemer heeft een wettelijk recht om zijn waarde mee te nemen naar de nieuwe uitvoerder. Dat recht is niet meer aan een korte termijn gebonden, maar de afweging is inhoudelijk:</w:t>
      </w:r>
    </w:p>
    <w:p>
      <w:pPr>
        <w:pStyle w:val="ListParagraph"/>
        <w:numPr>
          <w:ilvl w:val="0"/>
          <w:numId w:val="1"/>
        </w:numPr>
        <w:spacing w:after="80"/>
      </w:pPr>
      <w:r>
        <w:rPr>
          <w:rFonts w:ascii="Calibri" w:cs="Calibri" w:eastAsia="Calibri" w:hAnsi="Calibri"/>
          <w:sz w:val="22"/>
          <w:szCs w:val="22"/>
        </w:rPr>
        <w:t xml:space="preserve">geef je garanties op die je in het oude contract had?</w:t>
      </w:r>
    </w:p>
    <w:p>
      <w:pPr>
        <w:pStyle w:val="ListParagraph"/>
        <w:numPr>
          <w:ilvl w:val="0"/>
          <w:numId w:val="1"/>
        </w:numPr>
        <w:spacing w:after="80"/>
      </w:pPr>
      <w:r>
        <w:rPr>
          <w:rFonts w:ascii="Calibri" w:cs="Calibri" w:eastAsia="Calibri" w:hAnsi="Calibri"/>
          <w:sz w:val="22"/>
          <w:szCs w:val="22"/>
        </w:rPr>
        <w:t xml:space="preserve">verschillen de kosten en de beleggingsvorm?</w:t>
      </w:r>
    </w:p>
    <w:p>
      <w:pPr>
        <w:pStyle w:val="ListParagraph"/>
        <w:numPr>
          <w:ilvl w:val="0"/>
          <w:numId w:val="1"/>
        </w:numPr>
        <w:spacing w:after="80"/>
      </w:pPr>
      <w:r>
        <w:rPr>
          <w:rFonts w:ascii="Calibri" w:cs="Calibri" w:eastAsia="Calibri" w:hAnsi="Calibri"/>
          <w:sz w:val="22"/>
          <w:szCs w:val="22"/>
        </w:rPr>
        <w:t xml:space="preserve">verandert de uitkeringsvorm (vast versus variabel, wel of geen shoprecht)?</w:t>
      </w:r>
    </w:p>
    <w:p>
      <w:pPr>
        <w:pStyle w:val="ListParagraph"/>
        <w:numPr>
          <w:ilvl w:val="0"/>
          <w:numId w:val="1"/>
        </w:numPr>
        <w:spacing w:after="80"/>
      </w:pPr>
      <w:r>
        <w:rPr>
          <w:rFonts w:ascii="Calibri" w:cs="Calibri" w:eastAsia="Calibri" w:hAnsi="Calibri"/>
          <w:sz w:val="22"/>
          <w:szCs w:val="22"/>
        </w:rPr>
        <w:t xml:space="preserve">wat gebeurt er met de meeverzekerde nabestaandendekking?</w:t>
      </w:r>
    </w:p>
    <w:p>
      <w:pPr>
        <w:spacing w:after="140" w:line="300"/>
      </w:pPr>
      <w:r>
        <w:rPr>
          <w:rFonts w:ascii="Calibri" w:cs="Calibri" w:eastAsia="Calibri" w:hAnsi="Calibri"/>
          <w:b w:val="false"/>
          <w:bCs w:val="false"/>
          <w:i w:val="false"/>
          <w:iCs w:val="false"/>
          <w:sz w:val="22"/>
          <w:szCs w:val="22"/>
        </w:rPr>
        <w:t xml:space="preserve">Waardeoverdracht is dus </w:t>
      </w:r>
      <w:r>
        <w:rPr>
          <w:rFonts w:ascii="Calibri" w:cs="Calibri" w:eastAsia="Calibri" w:hAnsi="Calibri"/>
          <w:b/>
          <w:bCs/>
          <w:i w:val="false"/>
          <w:iCs w:val="false"/>
          <w:sz w:val="22"/>
          <w:szCs w:val="22"/>
        </w:rPr>
        <w:t xml:space="preserve">niet standaard gunstig</w:t>
      </w:r>
      <w:r>
        <w:rPr>
          <w:rFonts w:ascii="Calibri" w:cs="Calibri" w:eastAsia="Calibri" w:hAnsi="Calibri"/>
          <w:b w:val="false"/>
          <w:bCs w:val="false"/>
          <w:i w:val="false"/>
          <w:iCs w:val="false"/>
          <w:sz w:val="22"/>
          <w:szCs w:val="22"/>
        </w:rPr>
        <w:t xml:space="preserve">. Wie een deelnemer adviseert “zet het lekker bij elkaar”, geeft advies zonder onderbouwing.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3. Automatische waardeoverdracht van kleine pensioenen.</w:t>
      </w:r>
      <w:r>
        <w:rPr>
          <w:rFonts w:ascii="Calibri" w:cs="Calibri" w:eastAsia="Calibri" w:hAnsi="Calibri"/>
          <w:b w:val="false"/>
          <w:bCs w:val="false"/>
          <w:i w:val="false"/>
          <w:iCs w:val="false"/>
          <w:sz w:val="22"/>
          <w:szCs w:val="22"/>
        </w:rPr>
        <w:t xml:space="preserve"> Voor kleine aanspraken onder de wettelijke afkoopgrens </w:t>
      </w:r>
      <w:r>
        <w:rPr>
          <w:rFonts w:ascii="Calibri" w:cs="Calibri" w:eastAsia="Calibri" w:hAnsi="Calibri"/>
          <w:b w:val="false"/>
          <w:bCs w:val="false"/>
          <w:i w:val="false"/>
          <w:iCs w:val="false"/>
          <w:sz w:val="22"/>
          <w:szCs w:val="22"/>
        </w:rPr>
        <w:t xml:space="preserve">[GRENS-JAAR]</w:t>
      </w:r>
      <w:r>
        <w:rPr>
          <w:rFonts w:ascii="Calibri" w:cs="Calibri" w:eastAsia="Calibri" w:hAnsi="Calibri"/>
          <w:b w:val="false"/>
          <w:bCs w:val="false"/>
          <w:i w:val="false"/>
          <w:iCs w:val="false"/>
          <w:sz w:val="22"/>
          <w:szCs w:val="22"/>
        </w:rPr>
        <w:t xml:space="preserve"> geldt een systeem waarin de uitvoerder de waarde uit eigen beweging overdraagt naar de nieuwe uitvoerder, zodat kleine potjes niet versnipperd achterblijven en niet worden afgekocht. Zeer kleine aanspraken kunnen vervallen of worden afgekocht volgens de regels die daarvoor gelden.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In de transitie.</w:t>
      </w:r>
      <w:r>
        <w:rPr>
          <w:rFonts w:ascii="Calibri" w:cs="Calibri" w:eastAsia="Calibri" w:hAnsi="Calibri"/>
          <w:b w:val="false"/>
          <w:bCs w:val="false"/>
          <w:i w:val="false"/>
          <w:iCs w:val="false"/>
          <w:sz w:val="22"/>
          <w:szCs w:val="22"/>
        </w:rPr>
        <w:t xml:space="preserve"> Let op de samenloop: bij een verzekerde regeling die overgaat naar een nieuwe uitvoerder blijft het oude kapitaal achter (deel 2 en 5). De deelnemer heeft dan binnen dezelfde werkgever twee potjes, en de vraag of hij die wil samenvoegen is een waardeoverdrachtsvraag met precies de bovenstaande afwegingen.</w:t>
      </w:r>
    </w:p>
    <w:p>
      <w:pPr>
        <w:spacing w:after="100"/>
      </w:pPr>
    </w:p>
    <w:p>
      <w:pPr>
        <w:pStyle w:val="Heading2"/>
        <w:spacing w:after="120" w:before="200"/>
      </w:pPr>
      <w:r>
        <w:rPr>
          <w:rFonts w:ascii="Georgia" w:cs="Georgia" w:eastAsia="Georgia" w:hAnsi="Georgia"/>
          <w:b/>
          <w:bCs/>
          <w:color w:val="2563A8"/>
          <w:sz w:val="28"/>
          <w:szCs w:val="28"/>
        </w:rPr>
        <w:t xml:space="preserve">9.6 Scheiding</w:t>
      </w:r>
    </w:p>
    <w:p>
      <w:pPr>
        <w:spacing w:after="140" w:line="300"/>
      </w:pPr>
      <w:r>
        <w:rPr>
          <w:rFonts w:ascii="Calibri" w:cs="Calibri" w:eastAsia="Calibri" w:hAnsi="Calibri"/>
          <w:b w:val="false"/>
          <w:bCs w:val="false"/>
          <w:i w:val="false"/>
          <w:iCs w:val="false"/>
          <w:sz w:val="22"/>
          <w:szCs w:val="22"/>
        </w:rPr>
        <w:t xml:space="preserve">Bij echtscheiding, ontbinding van een geregistreerd partnerschap en scheiding van tafel en bed geldt het wettelijke kader voor pensioenverdeling.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Verevening.</w:t>
      </w:r>
      <w:r>
        <w:rPr>
          <w:rFonts w:ascii="Calibri" w:cs="Calibri" w:eastAsia="Calibri" w:hAnsi="Calibri"/>
          <w:b w:val="false"/>
          <w:bCs w:val="false"/>
          <w:i w:val="false"/>
          <w:iCs w:val="false"/>
          <w:sz w:val="22"/>
          <w:szCs w:val="22"/>
        </w:rPr>
        <w:t xml:space="preserve"> Hoofdregel onder de huidige wet: de ex-partner heeft recht op de helft van het </w:t>
      </w:r>
      <w:r>
        <w:rPr>
          <w:rFonts w:ascii="Calibri" w:cs="Calibri" w:eastAsia="Calibri" w:hAnsi="Calibri"/>
          <w:b/>
          <w:bCs/>
          <w:i w:val="false"/>
          <w:iCs w:val="false"/>
          <w:sz w:val="22"/>
          <w:szCs w:val="22"/>
        </w:rPr>
        <w:t xml:space="preserve">ouderdomspensioen dat tijdens het huwelijk is opgebouwd</w:t>
      </w:r>
      <w:r>
        <w:rPr>
          <w:rFonts w:ascii="Calibri" w:cs="Calibri" w:eastAsia="Calibri" w:hAnsi="Calibri"/>
          <w:b w:val="false"/>
          <w:bCs w:val="false"/>
          <w:i w:val="false"/>
          <w:iCs w:val="false"/>
          <w:sz w:val="22"/>
          <w:szCs w:val="22"/>
        </w:rPr>
        <w:t xml:space="preserve">. De aanspraak blijft daarbij verbonden aan de deelnemer: de ex-partner ontvangt een deel van diens uitkering, en dat recht is afhankelijk van het leven van de deelnemer.</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Conversie.</w:t>
      </w:r>
      <w:r>
        <w:rPr>
          <w:rFonts w:ascii="Calibri" w:cs="Calibri" w:eastAsia="Calibri" w:hAnsi="Calibri"/>
          <w:b w:val="false"/>
          <w:bCs w:val="false"/>
          <w:i w:val="false"/>
          <w:iCs w:val="false"/>
          <w:sz w:val="22"/>
          <w:szCs w:val="22"/>
        </w:rPr>
        <w:t xml:space="preserve"> Partijen kunnen in plaats daarvan kiezen voor conversie: het toebedeelde deel wordt omgezet in een zelfstandig eigen recht van de ex-partner. Voordeel: volledige ontvlechting. Nadeel: het valt niet terug bij vooroverlijden van de ex-partner.</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Bijzonder partnerpensioen.</w:t>
      </w:r>
      <w:r>
        <w:rPr>
          <w:rFonts w:ascii="Calibri" w:cs="Calibri" w:eastAsia="Calibri" w:hAnsi="Calibri"/>
          <w:b w:val="false"/>
          <w:bCs w:val="false"/>
          <w:i w:val="false"/>
          <w:iCs w:val="false"/>
          <w:sz w:val="22"/>
          <w:szCs w:val="22"/>
        </w:rPr>
        <w:t xml:space="preserve"> Los van de verdeling van het ouderdomspensioen houdt de ex-partner in beginsel recht op het partnerpensioen dat tot de scheidingsdatum is opgebouwd. Let op de samenhang met deel 8: in een regeling waarin het partnerpensioen op </w:t>
      </w:r>
      <w:r>
        <w:rPr>
          <w:rFonts w:ascii="Calibri" w:cs="Calibri" w:eastAsia="Calibri" w:hAnsi="Calibri"/>
          <w:b/>
          <w:bCs/>
          <w:i w:val="false"/>
          <w:iCs w:val="false"/>
          <w:sz w:val="22"/>
          <w:szCs w:val="22"/>
        </w:rPr>
        <w:t xml:space="preserve">risicobasis</w:t>
      </w:r>
      <w:r>
        <w:rPr>
          <w:rFonts w:ascii="Calibri" w:cs="Calibri" w:eastAsia="Calibri" w:hAnsi="Calibri"/>
          <w:b w:val="false"/>
          <w:bCs w:val="false"/>
          <w:i w:val="false"/>
          <w:iCs w:val="false"/>
          <w:sz w:val="22"/>
          <w:szCs w:val="22"/>
        </w:rPr>
        <w:t xml:space="preserve"> is verzekerd, is er niets opgebouwd en dus ook geen bijzonder partnerpensioen. Dat is een verschil met grote gevolgen dat bij scheidingen regelmatig over het hoofd wordt gezien.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 termijn.</w:t>
      </w:r>
      <w:r>
        <w:rPr>
          <w:rFonts w:ascii="Calibri" w:cs="Calibri" w:eastAsia="Calibri" w:hAnsi="Calibri"/>
          <w:b w:val="false"/>
          <w:bCs w:val="false"/>
          <w:i w:val="false"/>
          <w:iCs w:val="false"/>
          <w:sz w:val="22"/>
          <w:szCs w:val="22"/>
        </w:rPr>
        <w:t xml:space="preserve"> Voor rechtstreekse uitbetaling door de uitvoerder aan de ex-partner geldt een meldingstermijn na de scheiding. Wordt die gemist, dan vervalt het recht op verdeling niet, maar moet de verrekening onderling plaatsvinden — met alle praktische problemen van dien, dertig jaar later.</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Wetgeving in beweging.</w:t>
      </w:r>
      <w:r>
        <w:rPr>
          <w:rFonts w:ascii="Calibri" w:cs="Calibri" w:eastAsia="Calibri" w:hAnsi="Calibri"/>
          <w:b w:val="false"/>
          <w:bCs w:val="false"/>
          <w:i w:val="false"/>
          <w:iCs w:val="false"/>
          <w:sz w:val="22"/>
          <w:szCs w:val="22"/>
        </w:rPr>
        <w:t xml:space="preserve"> Er ligt al jaren een wetsvoorstel dat conversie tot standaard maakt en de verdeling moderniseert. Het is nog niet in werking; de behandeling is gekoppeld aan de stelselwijziging. Controleer bij advisering altijd de actuele stand </w:t>
      </w:r>
      <w:r>
        <w:rPr>
          <w:rFonts w:ascii="Calibri" w:cs="Calibri" w:eastAsia="Calibri" w:hAnsi="Calibri"/>
          <w:b w:val="false"/>
          <w:bCs w:val="false"/>
          <w:i w:val="false"/>
          <w:iCs w:val="false"/>
          <w:sz w:val="22"/>
          <w:szCs w:val="22"/>
        </w:rPr>
        <w:t xml:space="preserve">[STATUS-JAAR]</w:t>
      </w:r>
      <w:r>
        <w:rPr>
          <w:rFonts w:ascii="Calibri" w:cs="Calibri" w:eastAsia="Calibri" w:hAnsi="Calibri"/>
          <w:b w:val="false"/>
          <w:bCs w:val="false"/>
          <w:i w:val="false"/>
          <w:iCs w:val="false"/>
          <w:sz w:val="22"/>
          <w:szCs w:val="22"/>
        </w:rPr>
        <w:t xml:space="preserve"> — dit is bij uitstek een onderwerp waarop verouderde readers circuleren.</w:t>
      </w:r>
    </w:p>
    <w:p>
      <w:pPr>
        <w:spacing w:after="100"/>
      </w:pPr>
    </w:p>
    <w:p>
      <w:pPr>
        <w:pStyle w:val="Heading2"/>
        <w:spacing w:after="120" w:before="200"/>
      </w:pPr>
      <w:r>
        <w:rPr>
          <w:rFonts w:ascii="Georgia" w:cs="Georgia" w:eastAsia="Georgia" w:hAnsi="Georgia"/>
          <w:b/>
          <w:bCs/>
          <w:color w:val="2563A8"/>
          <w:sz w:val="28"/>
          <w:szCs w:val="28"/>
        </w:rPr>
        <w:t xml:space="preserve">9.7 De pensioendatum: keuzes en hun onomkeerbaarheid</w:t>
      </w:r>
    </w:p>
    <w:p>
      <w:pPr>
        <w:spacing w:after="140" w:line="300"/>
      </w:pPr>
      <w:r>
        <w:rPr>
          <w:rFonts w:ascii="Calibri" w:cs="Calibri" w:eastAsia="Calibri" w:hAnsi="Calibri"/>
          <w:b w:val="false"/>
          <w:bCs w:val="false"/>
          <w:i w:val="false"/>
          <w:iCs w:val="false"/>
          <w:sz w:val="22"/>
          <w:szCs w:val="22"/>
        </w:rPr>
        <w:t xml:space="preserve">Rond pensionering komen de meeste keuzes samen. Per keuze is de vraag: </w:t>
      </w:r>
      <w:r>
        <w:rPr>
          <w:rFonts w:ascii="Calibri" w:cs="Calibri" w:eastAsia="Calibri" w:hAnsi="Calibri"/>
          <w:b/>
          <w:bCs/>
          <w:i w:val="false"/>
          <w:iCs w:val="false"/>
          <w:sz w:val="22"/>
          <w:szCs w:val="22"/>
        </w:rPr>
        <w:t xml:space="preserve">wat kun je hierna nog terugdraaien?</w:t>
      </w:r>
      <w:r>
        <w:rPr>
          <w:rFonts w:ascii="Calibri" w:cs="Calibri" w:eastAsia="Calibri" w:hAnsi="Calibri"/>
          <w:b w:val="false"/>
          <w:bCs w:val="false"/>
          <w:i w:val="false"/>
          <w:iCs w:val="false"/>
          <w:sz w:val="22"/>
          <w:szCs w:val="22"/>
        </w:rPr>
        <w:t xml:space="preserve"/>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Keuze</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Wat het inhoudt</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Terug te draaien?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Vervroegen of uitstellen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Eerder of later ingaan dan de reglementaire datum</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Nee, na ingang niet meer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Deeltijdpensioen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Gedeeltelijk met pensioen, gedeeltelijk doorwerken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Deels, afhankelijk van het reglement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Hoog-laagconstructie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Eerst een hogere, daarna een lagere uitkering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Nee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Uitruil ouderdoms- en partnerpensioen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Meer voor jezelf of meer voor je partner</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Nee — en vergt instemming van de partner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Vast of variabel pensioen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Zekerheid versus meebewegen met rendement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Nee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Shoprecht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Kapitaal bij een andere aanbieder omzetten in een uitkering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Nee, na aankoop</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Bedrag ineens</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Maximaal 10% van het ouderdomspensioen ineens opnemen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Nee</w:t>
            </w:r>
          </w:p>
        </w:tc>
      </w:tr>
    </w:tbl>
    <w:p>
      <w:pPr>
        <w:spacing w:after="140" w:line="300"/>
      </w:pPr>
      <w:r>
        <w:rPr>
          <w:rFonts w:ascii="Calibri" w:cs="Calibri" w:eastAsia="Calibri" w:hAnsi="Calibri"/>
          <w:b w:val="false"/>
          <w:bCs w:val="false"/>
          <w:i w:val="false"/>
          <w:iCs w:val="false"/>
          <w:sz w:val="22"/>
          <w:szCs w:val="22"/>
        </w:rPr>
        <w:t xml:space="preserve">Twee opmerkingen bij de laatste twee rijen.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Shoprecht.</w:t>
      </w:r>
      <w:r>
        <w:rPr>
          <w:rFonts w:ascii="Calibri" w:cs="Calibri" w:eastAsia="Calibri" w:hAnsi="Calibri"/>
          <w:b w:val="false"/>
          <w:bCs w:val="false"/>
          <w:i w:val="false"/>
          <w:iCs w:val="false"/>
          <w:sz w:val="22"/>
          <w:szCs w:val="22"/>
        </w:rPr>
        <w:t xml:space="preserve"> Wie een kapitaal heeft, mag daarmee bij een andere aanbieder een uitkering aankopen. Dat kan tienduizenden euro’s schelen. Maar: bij een premie-uitkeringsovereenkomst (deel 3) is er geen kapitaal om mee te shoppen, want de aanspraken zijn al ingekocht. Dat moet vóóraf duidelijk zijn, niet op de pensioendatum.</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Bedrag ineens.</w:t>
      </w:r>
      <w:r>
        <w:rPr>
          <w:rFonts w:ascii="Calibri" w:cs="Calibri" w:eastAsia="Calibri" w:hAnsi="Calibri"/>
          <w:b w:val="false"/>
          <w:bCs w:val="false"/>
          <w:i w:val="false"/>
          <w:iCs w:val="false"/>
          <w:sz w:val="22"/>
          <w:szCs w:val="22"/>
        </w:rPr>
        <w:t xml:space="preserve"> Het keuzerecht om bij pensionering maximaal 10% van het ouderdomspensioen ineens op te nemen is wettelijk geregeld, maar de inwerkingtreding is meermalen uitgesteld — laatstelijk naar 1 januari 2029, om de sector eerst de stelseltransitie te laten afronden. Communiceer hierover voorzichtig: er zijn deelnemers die hun pensioendatum uitstellen in de verwachting dat de mogelijkheid er dan is. Controleer de actuele stand voordat je hier iets over zegt.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Keuzebegeleiding.</w:t>
      </w:r>
      <w:r>
        <w:rPr>
          <w:rFonts w:ascii="Calibri" w:cs="Calibri" w:eastAsia="Calibri" w:hAnsi="Calibri"/>
          <w:b w:val="false"/>
          <w:bCs w:val="false"/>
          <w:i w:val="false"/>
          <w:iCs w:val="false"/>
          <w:sz w:val="22"/>
          <w:szCs w:val="22"/>
        </w:rPr>
        <w:t xml:space="preserve"> Bij al deze keuzes rust op de uitvoerder een wettelijke plicht tot keuzebegeleiding: de deelnemer moet op een passende wijze worden begeleid naar een keuze die bij zijn situatie past. Dat is meer dan informatie verstrekken en minder dan advies geven. Deel 17 werkt dit uit.</w:t>
      </w:r>
    </w:p>
    <w:p>
      <w:pPr>
        <w:spacing w:after="100"/>
      </w:pPr>
    </w:p>
    <w:p>
      <w:pPr>
        <w:pStyle w:val="Heading2"/>
        <w:spacing w:after="120" w:before="200"/>
      </w:pPr>
      <w:r>
        <w:rPr>
          <w:rFonts w:ascii="Georgia" w:cs="Georgia" w:eastAsia="Georgia" w:hAnsi="Georgia"/>
          <w:b/>
          <w:bCs/>
          <w:color w:val="2563A8"/>
          <w:sz w:val="28"/>
          <w:szCs w:val="28"/>
        </w:rPr>
        <w:t xml:space="preserve">9.8 Overlijden</w:t>
      </w:r>
    </w:p>
    <w:p>
      <w:pPr>
        <w:spacing w:after="140" w:line="300"/>
      </w:pPr>
      <w:r>
        <w:rPr>
          <w:rFonts w:ascii="Calibri" w:cs="Calibri" w:eastAsia="Calibri" w:hAnsi="Calibri"/>
          <w:b w:val="false"/>
          <w:bCs w:val="false"/>
          <w:i w:val="false"/>
          <w:iCs w:val="false"/>
          <w:sz w:val="22"/>
          <w:szCs w:val="22"/>
        </w:rPr>
        <w:t xml:space="preserve">Overlijdt de deelnemer, dan komt alles samen wat in deel 8 is behandeld: risicodekking of opgebouwde aanspraak, vóór of ná de pensioendatum, partnerbegrip, eventueel bijzonder partnerpensioen voor een ex-partner, wezenpensioen.</w:t>
      </w:r>
    </w:p>
    <w:p>
      <w:pPr>
        <w:spacing w:after="140" w:line="300"/>
      </w:pPr>
      <w:r>
        <w:rPr>
          <w:rFonts w:ascii="Calibri" w:cs="Calibri" w:eastAsia="Calibri" w:hAnsi="Calibri"/>
          <w:b w:val="false"/>
          <w:bCs w:val="false"/>
          <w:i w:val="false"/>
          <w:iCs w:val="false"/>
          <w:sz w:val="22"/>
          <w:szCs w:val="22"/>
        </w:rPr>
        <w:t xml:space="preserve">Twee praktische punten:</w:t>
      </w:r>
    </w:p>
    <w:p>
      <w:pPr>
        <w:pStyle w:val="ListParagraph"/>
        <w:numPr>
          <w:ilvl w:val="0"/>
          <w:numId w:val="1"/>
        </w:numPr>
        <w:spacing w:after="80"/>
      </w:pPr>
      <w:r>
        <w:rPr>
          <w:rFonts w:ascii="Calibri" w:cs="Calibri" w:eastAsia="Calibri" w:hAnsi="Calibri"/>
          <w:sz w:val="22"/>
          <w:szCs w:val="22"/>
        </w:rPr>
        <w:t xml:space="preserve">De nabestaande moet gevonden worden. Uitvoerders werken met gegevens uit de basisregistratie, maar bij ongehuwd samenwonenden zonder aanmelding is er soms geen spoor. Zie 9.4.</w:t>
      </w:r>
    </w:p>
    <w:p>
      <w:pPr>
        <w:pStyle w:val="ListParagraph"/>
        <w:numPr>
          <w:ilvl w:val="0"/>
          <w:numId w:val="1"/>
        </w:numPr>
        <w:spacing w:after="80"/>
      </w:pPr>
      <w:r>
        <w:rPr>
          <w:rFonts w:ascii="Calibri" w:cs="Calibri" w:eastAsia="Calibri" w:hAnsi="Calibri"/>
          <w:sz w:val="22"/>
          <w:szCs w:val="22"/>
        </w:rPr>
        <w:t xml:space="preserve">Meerdere potjes, meerdere uitvoerders. Een nabestaande weet zelden waar overal iets staat. Wijs mensen op mijnpensioenoverzicht.nl — dat overzicht is er ook voor dit moment.</w:t>
      </w:r>
    </w:p>
    <w:p>
      <w:pPr>
        <w:spacing w:after="100"/>
      </w:pPr>
    </w:p>
    <w:p>
      <w:pPr>
        <w:pStyle w:val="Heading2"/>
        <w:spacing w:after="120" w:before="200"/>
      </w:pPr>
      <w:r>
        <w:rPr>
          <w:rFonts w:ascii="Georgia" w:cs="Georgia" w:eastAsia="Georgia" w:hAnsi="Georgia"/>
          <w:b/>
          <w:bCs/>
          <w:color w:val="2563A8"/>
          <w:sz w:val="28"/>
          <w:szCs w:val="28"/>
        </w:rPr>
        <w:t xml:space="preserve">9.9 Het dossier van Karel Sanders</w:t>
      </w:r>
    </w:p>
    <w:p>
      <w:pPr>
        <w:spacing w:after="140" w:line="300"/>
      </w:pPr>
      <w:r>
        <w:rPr>
          <w:rFonts w:ascii="Calibri" w:cs="Calibri" w:eastAsia="Calibri" w:hAnsi="Calibri"/>
          <w:b w:val="false"/>
          <w:bCs w:val="false"/>
          <w:i w:val="false"/>
          <w:iCs w:val="false"/>
          <w:sz w:val="22"/>
          <w:szCs w:val="22"/>
        </w:rPr>
        <w:t xml:space="preserve">Pas de hele reis toe op één man.</w:t>
      </w:r>
    </w:p>
    <w:p>
      <w:pPr>
        <w:pStyle w:val="ListParagraph"/>
        <w:numPr>
          <w:ilvl w:val="0"/>
          <w:numId w:val="1"/>
        </w:numPr>
        <w:spacing w:after="80"/>
      </w:pPr>
      <w:r>
        <w:rPr>
          <w:rFonts w:ascii="Calibri" w:cs="Calibri" w:eastAsia="Calibri" w:hAnsi="Calibri"/>
          <w:sz w:val="22"/>
          <w:szCs w:val="22"/>
        </w:rPr>
        <w:t xml:space="preserve">1994–2010 — middelloonregeling bij een vorige werkgever. Bij vertrek premievrije aanspraak; hij deed geen waardeoverdracht.</w:t>
      </w:r>
    </w:p>
    <w:p>
      <w:pPr>
        <w:pStyle w:val="ListParagraph"/>
        <w:numPr>
          <w:ilvl w:val="0"/>
          <w:numId w:val="1"/>
        </w:numPr>
        <w:spacing w:after="80"/>
      </w:pPr>
      <w:r>
        <w:rPr>
          <w:rFonts w:ascii="Calibri" w:cs="Calibri" w:eastAsia="Calibri" w:hAnsi="Calibri"/>
          <w:sz w:val="22"/>
          <w:szCs w:val="22"/>
        </w:rPr>
        <w:t xml:space="preserve">2010 — in dienst bij Van Doorn Techniek, premieregeling met staffel bij Meridiaan.</w:t>
      </w:r>
    </w:p>
    <w:p>
      <w:pPr>
        <w:pStyle w:val="ListParagraph"/>
        <w:numPr>
          <w:ilvl w:val="0"/>
          <w:numId w:val="1"/>
        </w:numPr>
        <w:spacing w:after="80"/>
      </w:pPr>
      <w:r>
        <w:rPr>
          <w:rFonts w:ascii="Calibri" w:cs="Calibri" w:eastAsia="Calibri" w:hAnsi="Calibri"/>
          <w:sz w:val="22"/>
          <w:szCs w:val="22"/>
        </w:rPr>
        <w:t xml:space="preserve">2013 — scheiding. Zijn ex-partner heeft recht op de helft van het tijdens het huwelijk opgebouwde ouderdomspensioen; dat raakt zowel het middelloondeel als de opbouw bij Meridiaan tot 2013. Is dat destijds gemeld?</w:t>
      </w:r>
    </w:p>
    <w:p>
      <w:pPr>
        <w:pStyle w:val="ListParagraph"/>
        <w:numPr>
          <w:ilvl w:val="0"/>
          <w:numId w:val="1"/>
        </w:numPr>
        <w:spacing w:after="80"/>
      </w:pPr>
      <w:r>
        <w:rPr>
          <w:rFonts w:ascii="Calibri" w:cs="Calibri" w:eastAsia="Calibri" w:hAnsi="Calibri"/>
          <w:sz w:val="22"/>
          <w:szCs w:val="22"/>
        </w:rPr>
        <w:t xml:space="preserve">2017 — hertrouwd. Nieuwe partner Marleen; het bijzonder partnerpensioen voor de ex-partner blijft in stand voor zover er iets is opgebouwd.</w:t>
      </w:r>
    </w:p>
    <w:p>
      <w:pPr>
        <w:pStyle w:val="ListParagraph"/>
        <w:numPr>
          <w:ilvl w:val="0"/>
          <w:numId w:val="1"/>
        </w:numPr>
        <w:spacing w:after="80"/>
      </w:pPr>
      <w:r>
        <w:rPr>
          <w:rFonts w:ascii="Calibri" w:cs="Calibri" w:eastAsia="Calibri" w:hAnsi="Calibri"/>
          <w:sz w:val="22"/>
          <w:szCs w:val="22"/>
        </w:rPr>
        <w:t xml:space="preserve">2027 — transitie. Zijn premie gaat van 24% naar 15%, met compensatie; zijn nabestaandendekking verandert van karakter; zijn oude kapitaal blijft achter als Van Doorn van uitvoerder wisselt.</w:t>
      </w:r>
    </w:p>
    <w:p>
      <w:pPr>
        <w:pStyle w:val="ListParagraph"/>
        <w:numPr>
          <w:ilvl w:val="0"/>
          <w:numId w:val="1"/>
        </w:numPr>
        <w:spacing w:after="80"/>
      </w:pPr>
      <w:r>
        <w:rPr>
          <w:rFonts w:ascii="Calibri" w:cs="Calibri" w:eastAsia="Calibri" w:hAnsi="Calibri"/>
          <w:sz w:val="22"/>
          <w:szCs w:val="22"/>
        </w:rPr>
        <w:t xml:space="preserve">2036 — pensionering. Vier bronnen: het middelloondeel, het staffelkapitaal, het nieuwe kapitaal en eventueel een deel dat naar zijn ex is gegaan. Vier sets keuzes, vier uitvoerders.</w:t>
      </w:r>
    </w:p>
    <w:p>
      <w:pPr>
        <w:spacing w:after="140" w:line="300"/>
      </w:pPr>
      <w:r>
        <w:rPr>
          <w:rFonts w:ascii="Calibri" w:cs="Calibri" w:eastAsia="Calibri" w:hAnsi="Calibri"/>
          <w:b w:val="false"/>
          <w:bCs w:val="false"/>
          <w:i w:val="false"/>
          <w:iCs w:val="false"/>
          <w:sz w:val="22"/>
          <w:szCs w:val="22"/>
        </w:rPr>
        <w:t xml:space="preserve">De vraag die je aan dit dossier moet stellen: </w:t>
      </w:r>
      <w:r>
        <w:rPr>
          <w:rFonts w:ascii="Calibri" w:cs="Calibri" w:eastAsia="Calibri" w:hAnsi="Calibri"/>
          <w:b/>
          <w:bCs/>
          <w:i w:val="false"/>
          <w:iCs w:val="false"/>
          <w:sz w:val="22"/>
          <w:szCs w:val="22"/>
        </w:rPr>
        <w:t xml:space="preserve">wie overziet dit geheel?</w:t>
      </w:r>
      <w:r>
        <w:rPr>
          <w:rFonts w:ascii="Calibri" w:cs="Calibri" w:eastAsia="Calibri" w:hAnsi="Calibri"/>
          <w:b w:val="false"/>
          <w:bCs w:val="false"/>
          <w:i w:val="false"/>
          <w:iCs w:val="false"/>
          <w:sz w:val="22"/>
          <w:szCs w:val="22"/>
        </w:rPr>
        <w:t xml:space="preserve"> Het antwoord is: niemand automatisch. Niet de werkgever, niet de uitvoerder, niet mijnpensioenoverzicht.nl volledig. Dat is precies de ruimte waarin een goede adviseur waarde toevoegt — en de reden dat het vak bestaat.</w:t>
      </w:r>
    </w:p>
    <w:p>
      <w:pPr>
        <w:spacing w:after="100"/>
      </w:pPr>
    </w:p>
    <w:p>
      <w:pPr>
        <w:pStyle w:val="Heading2"/>
        <w:spacing w:after="120" w:before="200"/>
      </w:pPr>
      <w:r>
        <w:rPr>
          <w:rFonts w:ascii="Georgia" w:cs="Georgia" w:eastAsia="Georgia" w:hAnsi="Georgia"/>
          <w:b/>
          <w:bCs/>
          <w:color w:val="2563A8"/>
          <w:sz w:val="28"/>
          <w:szCs w:val="28"/>
        </w:rPr>
        <w:t xml:space="preserve">9.10 Samenvatting</w:t>
      </w:r>
    </w:p>
    <w:p>
      <w:pPr>
        <w:pStyle w:val="ListParagraph"/>
        <w:numPr>
          <w:ilvl w:val="0"/>
          <w:numId w:val="1"/>
        </w:numPr>
        <w:spacing w:after="80"/>
      </w:pPr>
      <w:r>
        <w:rPr>
          <w:rFonts w:ascii="Calibri" w:cs="Calibri" w:eastAsia="Calibri" w:hAnsi="Calibri"/>
          <w:sz w:val="22"/>
          <w:szCs w:val="22"/>
        </w:rPr>
        <w:t xml:space="preserve">De meeste pensioenfouten ontstaan op overgangsmomenten, niet in de rustige jaren.</w:t>
      </w:r>
    </w:p>
    <w:p>
      <w:pPr>
        <w:pStyle w:val="ListParagraph"/>
        <w:numPr>
          <w:ilvl w:val="0"/>
          <w:numId w:val="1"/>
        </w:numPr>
        <w:spacing w:after="80"/>
      </w:pPr>
      <w:r>
        <w:rPr>
          <w:rFonts w:ascii="Calibri" w:cs="Calibri" w:eastAsia="Calibri" w:hAnsi="Calibri"/>
          <w:sz w:val="22"/>
          <w:szCs w:val="22"/>
        </w:rPr>
        <w:t xml:space="preserve">De pensioenadministratie is zo goed als de mutatiestroom vanuit de werkgever.</w:t>
      </w:r>
    </w:p>
    <w:p>
      <w:pPr>
        <w:pStyle w:val="ListParagraph"/>
        <w:numPr>
          <w:ilvl w:val="0"/>
          <w:numId w:val="1"/>
        </w:numPr>
        <w:spacing w:after="80"/>
      </w:pPr>
      <w:r>
        <w:rPr>
          <w:rFonts w:ascii="Calibri" w:cs="Calibri" w:eastAsia="Calibri" w:hAnsi="Calibri"/>
          <w:sz w:val="22"/>
          <w:szCs w:val="22"/>
        </w:rPr>
        <w:t xml:space="preserve">Bij vertrek zijn er drie routes: laten staan, waardeoverdracht op verzoek, of automatische overdracht van kleine pensioenen. Samenvoegen is niet standaard gunstig.</w:t>
      </w:r>
    </w:p>
    <w:p>
      <w:pPr>
        <w:pStyle w:val="ListParagraph"/>
        <w:numPr>
          <w:ilvl w:val="0"/>
          <w:numId w:val="1"/>
        </w:numPr>
        <w:spacing w:after="80"/>
      </w:pPr>
      <w:r>
        <w:rPr>
          <w:rFonts w:ascii="Calibri" w:cs="Calibri" w:eastAsia="Calibri" w:hAnsi="Calibri"/>
          <w:sz w:val="22"/>
          <w:szCs w:val="22"/>
        </w:rPr>
        <w:t xml:space="preserve">Bij scheiding geldt verevening als hoofdregel, conversie als alternatief; bij een risicobasis-partnerpensioen is er geen bijzonder partnerpensioen.</w:t>
      </w:r>
    </w:p>
    <w:p>
      <w:pPr>
        <w:pStyle w:val="ListParagraph"/>
        <w:numPr>
          <w:ilvl w:val="0"/>
          <w:numId w:val="1"/>
        </w:numPr>
        <w:spacing w:after="80"/>
      </w:pPr>
      <w:r>
        <w:rPr>
          <w:rFonts w:ascii="Calibri" w:cs="Calibri" w:eastAsia="Calibri" w:hAnsi="Calibri"/>
          <w:sz w:val="22"/>
          <w:szCs w:val="22"/>
        </w:rPr>
        <w:t xml:space="preserve">De keuzes rond de pensioendatum zijn vrijwel allemaal onomkeerbaar; de uitvoerder heeft daarbij een plicht tot keuzebegeleiding.</w:t>
      </w:r>
    </w:p>
    <w:p>
      <w:pPr>
        <w:pStyle w:val="ListParagraph"/>
        <w:numPr>
          <w:ilvl w:val="0"/>
          <w:numId w:val="1"/>
        </w:numPr>
        <w:spacing w:after="80"/>
      </w:pPr>
      <w:r>
        <w:rPr>
          <w:rFonts w:ascii="Calibri" w:cs="Calibri" w:eastAsia="Calibri" w:hAnsi="Calibri"/>
          <w:sz w:val="22"/>
          <w:szCs w:val="22"/>
        </w:rPr>
        <w:t xml:space="preserve">Het keuzerecht bedrag ineens is aangenomen maar nog niet in werking; controleer de actuele datum voordat je erover communiceert.</w:t>
      </w:r>
    </w:p>
    <w:p>
      <w:pPr>
        <w:pStyle w:val="ListParagraph"/>
        <w:numPr>
          <w:ilvl w:val="0"/>
          <w:numId w:val="1"/>
        </w:numPr>
        <w:spacing w:after="80"/>
      </w:pPr>
      <w:r>
        <w:rPr>
          <w:rFonts w:ascii="Calibri" w:cs="Calibri" w:eastAsia="Calibri" w:hAnsi="Calibri"/>
          <w:sz w:val="22"/>
          <w:szCs w:val="22"/>
        </w:rPr>
        <w:t xml:space="preserve">Niemand overziet automatisch het volledige dossier van een individuele deelnemer.</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Doorkijk naar deel 10.</w:t>
      </w:r>
      <w:r>
        <w:rPr>
          <w:rFonts w:ascii="Calibri" w:cs="Calibri" w:eastAsia="Calibri" w:hAnsi="Calibri"/>
          <w:b w:val="false"/>
          <w:bCs w:val="false"/>
          <w:i w:val="false"/>
          <w:iCs w:val="false"/>
          <w:sz w:val="22"/>
          <w:szCs w:val="22"/>
        </w:rPr>
        <w:t xml:space="preserve"> Het laatste deel van niveau 1 is examentraining en capstone. Je herhaalt de nulmeting uit opdracht 1.1, oefent met examenvragen op het niveau van de Wft-toetstermen, en verdedigt een compleet transitieadvies voor Van Doorn Techniek voor een panel.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Nederlandse pensioenverzekering · Niveau 1 — Fundament · Deel 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4909c9ffd4cc9e4deb0f265b012e3d4b54be60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2026-08-17T11:22:44.301Z</dcterms:created>
  <dcterms:modified xsi:type="dcterms:W3CDTF">2026-08-17T11:22:44.301Z</dcterms:modified>
</cp:coreProperties>
</file>

<file path=docProps/custom.xml><?xml version="1.0" encoding="utf-8"?>
<Properties xmlns="http://schemas.openxmlformats.org/officeDocument/2006/custom-properties" xmlns:vt="http://schemas.openxmlformats.org/officeDocument/2006/docPropsVTypes"/>
</file>