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9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9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9.1 — Wie moet handelen?</w:t>
      </w:r>
    </w:p>
    <w:p>
      <w:pPr>
        <w:spacing w:after="140" w:line="300"/>
      </w:pPr>
      <w:r>
        <w:rPr>
          <w:rFonts w:ascii="Calibri" w:cs="Calibri" w:eastAsia="Calibri" w:hAnsi="Calibri"/>
          <w:b w:val="false"/>
          <w:bCs w:val="false"/>
          <w:i w:val="false"/>
          <w:iCs w:val="false"/>
          <w:sz w:val="22"/>
          <w:szCs w:val="22"/>
        </w:rPr>
        <w:t xml:space="preserve">Noteer per gebeurtenis wie er in actie moet komen: de werkgever, de uitvoerder, de deelnemer, of een combinatie.</w:t>
      </w:r>
    </w:p>
    <w:p>
      <w:pPr>
        <w:spacing w:after="140" w:line="300"/>
      </w:pPr>
      <w:r>
        <w:rPr>
          <w:rFonts w:ascii="Calibri" w:cs="Calibri" w:eastAsia="Calibri" w:hAnsi="Calibri"/>
          <w:b w:val="false"/>
          <w:bCs w:val="false"/>
          <w:i w:val="false"/>
          <w:iCs w:val="false"/>
          <w:sz w:val="22"/>
          <w:szCs w:val="22"/>
        </w:rPr>
        <w:t xml:space="preserve">a. Een nieuwe medewerker treedt in dienst.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medewerker gaat van vier naar vijf dagen werken.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medewerker gaat ongehuwd samenwonen.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medewerker scheidt.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 Een medewerker gaat uit dienst.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f. Een medewerker bereikt de pensioenleeftijd.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werkgever (aanmelden), uitvoerder (eerste informatie). b: werkgever (mutatie). c: deelnemer — in veel regelingen moet hij zijn partner aanmelden; de werkgever weet dit vaak niet eens. d: deelnemer en ex-partner (melding aan de uitvoerder binnen de termijn), uitvoerder (verwerking). e: werkgever (afmelden), uitvoerder (informatie over vervallen dekkingen en waardeoverdracht), deelnemer (keuze). f: uitvoerder (keuzebegeleiding), deelnemer (keuzes maken).</w:t>
            </w:r>
          </w:p>
        </w:tc>
      </w:tr>
    </w:tbl>
    <w:p>
      <w:pPr>
        <w:spacing w:after="140" w:line="300"/>
      </w:pPr>
      <w:r>
        <w:rPr>
          <w:rFonts w:ascii="Calibri" w:cs="Calibri" w:eastAsia="Calibri" w:hAnsi="Calibri"/>
          <w:b w:val="false"/>
          <w:bCs w:val="false"/>
          <w:i w:val="false"/>
          <w:iCs w:val="false"/>
          <w:sz w:val="22"/>
          <w:szCs w:val="22"/>
        </w:rPr>
        <w:t xml:space="preserve">Kijk naar c en d: dit zijn de enige twee waar de deelnemer zelf het initiatief moet nemen, en het zijn precies de twee waar het misgaat. Dat is geen toeval — mensen weten niet wat zij niet weten.</w:t>
      </w:r>
    </w:p>
    <w:p>
      <w:pPr>
        <w:spacing w:after="100"/>
      </w:pPr>
    </w:p>
    <w:p>
      <w:pPr>
        <w:pStyle w:val="Heading2"/>
        <w:spacing w:after="120" w:before="200"/>
      </w:pPr>
      <w:r>
        <w:rPr>
          <w:rFonts w:ascii="Georgia" w:cs="Georgia" w:eastAsia="Georgia" w:hAnsi="Georgia"/>
          <w:b/>
          <w:bCs/>
          <w:color w:val="2563A8"/>
          <w:sz w:val="28"/>
          <w:szCs w:val="28"/>
        </w:rPr>
        <w:t xml:space="preserve">Opdracht 9.2 — Het gat bij samenwonen *</w:t>
      </w:r>
    </w:p>
    <w:p>
      <w:pPr>
        <w:spacing w:after="140" w:line="300"/>
      </w:pPr>
      <w:r>
        <w:rPr>
          <w:rFonts w:ascii="Calibri" w:cs="Calibri" w:eastAsia="Calibri" w:hAnsi="Calibri"/>
          <w:b w:val="false"/>
          <w:bCs w:val="false"/>
          <w:i w:val="false"/>
          <w:iCs w:val="false"/>
          <w:sz w:val="22"/>
          <w:szCs w:val="22"/>
        </w:rPr>
        <w:t xml:space="preserve">Jeroen woont sinds 2019 ongehuwd samen met Sanne. Hij heeft haar nooit aangemeld bij de uitvoerder. In 2026 overlijdt hij.</w:t>
      </w:r>
    </w:p>
    <w:p>
      <w:pPr>
        <w:spacing w:after="140" w:line="300"/>
      </w:pPr>
      <w:r>
        <w:rPr>
          <w:rFonts w:ascii="Calibri" w:cs="Calibri" w:eastAsia="Calibri" w:hAnsi="Calibri"/>
          <w:b w:val="false"/>
          <w:bCs w:val="false"/>
          <w:i w:val="false"/>
          <w:iCs w:val="false"/>
          <w:sz w:val="22"/>
          <w:szCs w:val="22"/>
        </w:rPr>
        <w:t xml:space="preserve">a. Wat is de waarschijnlijke uitkomst?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Wie had dit kunnen voorkomen, en wanneer?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Formuleer één zin die op een startbrief had moeten staan zodat dit niet was gebeurd.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Regelingafhankelijk, maar in veel reglementen geldt de partner niet als partner in de zin van de regeling zonder aanmelding — met als gevolg geen partnerpensioen. Het reglement is beslissend; controleer altijd de definitie en de eventuele hersteltermijnen.</w:t>
      </w:r>
    </w:p>
    <w:p>
      <w:pPr>
        <w:spacing w:after="140" w:line="300"/>
      </w:pPr>
      <w:r>
        <w:rPr>
          <w:rFonts w:ascii="Calibri" w:cs="Calibri" w:eastAsia="Calibri" w:hAnsi="Calibri"/>
          <w:b w:val="false"/>
          <w:bCs w:val="false"/>
          <w:i w:val="false"/>
          <w:iCs w:val="false"/>
          <w:sz w:val="22"/>
          <w:szCs w:val="22"/>
        </w:rPr>
        <w:t xml:space="preserve">b. De deelnemer had het moeten doen, maar hij wist het niet. De uitvoerder had het bij aanvang moeten meedelen en had het bij elke gelegenheid opnieuw onder de aandacht kunnen brengen. De werkgever had het bij een levensgebeurtenis kunnen noemen.</w:t>
      </w:r>
    </w:p>
    <w:p>
      <w:pPr>
        <w:spacing w:after="140" w:line="300"/>
      </w:pPr>
      <w:r>
        <w:rPr>
          <w:rFonts w:ascii="Calibri" w:cs="Calibri" w:eastAsia="Calibri" w:hAnsi="Calibri"/>
          <w:b w:val="false"/>
          <w:bCs w:val="false"/>
          <w:i w:val="false"/>
          <w:iCs w:val="false"/>
          <w:sz w:val="22"/>
          <w:szCs w:val="22"/>
        </w:rPr>
        <w:t xml:space="preserve">c. Bijvoorbeeld: </w:t>
      </w:r>
      <w:r>
        <w:rPr>
          <w:rFonts w:ascii="Calibri" w:cs="Calibri" w:eastAsia="Calibri" w:hAnsi="Calibri"/>
          <w:b w:val="false"/>
          <w:bCs w:val="false"/>
          <w:i/>
          <w:iCs/>
          <w:sz w:val="22"/>
          <w:szCs w:val="22"/>
        </w:rPr>
        <w:t xml:space="preserve">“Woon je samen zonder te trouwen of een geregistreerd partnerschap? Dan is je partner pas verzekerd voor het partnerpensioen als je hem of haar bij ons aanmeldt — dat gaat niet automatisch.”</w:t>
      </w:r>
    </w:p>
    <w:p>
      <w:pPr>
        <w:spacing w:after="140" w:line="300"/>
      </w:pPr>
      <w:r>
        <w:rPr>
          <w:rFonts w:ascii="Calibri" w:cs="Calibri" w:eastAsia="Calibri" w:hAnsi="Calibri"/>
          <w:b w:val="false"/>
          <w:bCs w:val="false"/>
          <w:i w:val="false"/>
          <w:iCs w:val="false"/>
          <w:sz w:val="22"/>
          <w:szCs w:val="22"/>
        </w:rPr>
        <w:t xml:space="preserve">Beoordelingslijn bij c: de zin moet “gaat niet automatisch” bevatten. Dát is de informatie die ontbreekt; mensen gaan er vanzelfsprekend van uit dat de administratie hen kent.</w:t>
      </w:r>
    </w:p>
    <w:p>
      <w:pPr>
        <w:spacing w:after="100"/>
      </w:pPr>
    </w:p>
    <w:p>
      <w:pPr>
        <w:pStyle w:val="Heading2"/>
        <w:spacing w:after="120" w:before="200"/>
      </w:pPr>
      <w:r>
        <w:rPr>
          <w:rFonts w:ascii="Georgia" w:cs="Georgia" w:eastAsia="Georgia" w:hAnsi="Georgia"/>
          <w:b/>
          <w:bCs/>
          <w:color w:val="2563A8"/>
          <w:sz w:val="28"/>
          <w:szCs w:val="28"/>
        </w:rPr>
        <w:t xml:space="preserve">Opdracht 9.3 — Waardeoverdracht afwegen</w:t>
      </w:r>
    </w:p>
    <w:p>
      <w:pPr>
        <w:spacing w:after="140" w:line="300"/>
      </w:pPr>
      <w:r>
        <w:rPr>
          <w:rFonts w:ascii="Calibri" w:cs="Calibri" w:eastAsia="Calibri" w:hAnsi="Calibri"/>
          <w:b w:val="false"/>
          <w:bCs w:val="false"/>
          <w:i w:val="false"/>
          <w:iCs w:val="false"/>
          <w:sz w:val="22"/>
          <w:szCs w:val="22"/>
        </w:rPr>
        <w:t xml:space="preserve">Een deelnemer vraagt: “Ik heb bij mijn vorige werkgever nog een potje staan. Zal ik dat hierheen halen?”</w:t>
      </w:r>
    </w:p>
    <w:p>
      <w:pPr>
        <w:spacing w:after="140" w:line="300"/>
      </w:pPr>
      <w:r>
        <w:rPr>
          <w:rFonts w:ascii="Calibri" w:cs="Calibri" w:eastAsia="Calibri" w:hAnsi="Calibri"/>
          <w:b w:val="false"/>
          <w:bCs w:val="false"/>
          <w:i w:val="false"/>
          <w:iCs w:val="false"/>
          <w:sz w:val="22"/>
          <w:szCs w:val="22"/>
        </w:rPr>
        <w:t xml:space="preserve">Noem vijf dingen die je moet weten voordat je antwoordt.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Het karakter van de oude aanspraak — gegarandeerde uitkering of belegd kapitaal? Een garantie opgeven is zelden gratis.</w:t>
      </w:r>
    </w:p>
    <w:p>
      <w:pPr>
        <w:pStyle w:val="ListParagraph"/>
        <w:numPr>
          <w:ilvl w:val="0"/>
          <w:numId w:val="1"/>
        </w:numPr>
        <w:spacing w:after="80"/>
      </w:pPr>
      <w:r>
        <w:rPr>
          <w:rFonts w:ascii="Calibri" w:cs="Calibri" w:eastAsia="Calibri" w:hAnsi="Calibri"/>
          <w:sz w:val="22"/>
          <w:szCs w:val="22"/>
        </w:rPr>
        <w:t xml:space="preserve">2. De kosten in beide regelingen.</w:t>
      </w:r>
    </w:p>
    <w:p>
      <w:pPr>
        <w:pStyle w:val="ListParagraph"/>
        <w:numPr>
          <w:ilvl w:val="0"/>
          <w:numId w:val="1"/>
        </w:numPr>
        <w:spacing w:after="80"/>
      </w:pPr>
      <w:r>
        <w:rPr>
          <w:rFonts w:ascii="Calibri" w:cs="Calibri" w:eastAsia="Calibri" w:hAnsi="Calibri"/>
          <w:sz w:val="22"/>
          <w:szCs w:val="22"/>
        </w:rPr>
        <w:t xml:space="preserve">3. De uitkeringsvorm en de keuzevrijheid op de pensioendatum, inclusief het shoprecht.</w:t>
      </w:r>
    </w:p>
    <w:p>
      <w:pPr>
        <w:pStyle w:val="ListParagraph"/>
        <w:numPr>
          <w:ilvl w:val="0"/>
          <w:numId w:val="1"/>
        </w:numPr>
        <w:spacing w:after="80"/>
      </w:pPr>
      <w:r>
        <w:rPr>
          <w:rFonts w:ascii="Calibri" w:cs="Calibri" w:eastAsia="Calibri" w:hAnsi="Calibri"/>
          <w:sz w:val="22"/>
          <w:szCs w:val="22"/>
        </w:rPr>
        <w:t xml:space="preserve">4. Wat er is meeverzekerd, met name nabestaandendekking — die kan bij overdracht vervallen of veranderen.</w:t>
      </w:r>
    </w:p>
    <w:p>
      <w:pPr>
        <w:pStyle w:val="ListParagraph"/>
        <w:numPr>
          <w:ilvl w:val="0"/>
          <w:numId w:val="1"/>
        </w:numPr>
        <w:spacing w:after="80"/>
      </w:pPr>
      <w:r>
        <w:rPr>
          <w:rFonts w:ascii="Calibri" w:cs="Calibri" w:eastAsia="Calibri" w:hAnsi="Calibri"/>
          <w:sz w:val="22"/>
          <w:szCs w:val="22"/>
        </w:rPr>
        <w:t xml:space="preserve">5. De omvang: bij een klein pensioen kan het al automatisch geregeld zijn of onder een afkoopregime vallen.</w:t>
      </w:r>
    </w:p>
    <w:p>
      <w:pPr>
        <w:spacing w:after="140" w:line="300"/>
      </w:pPr>
      <w:r>
        <w:rPr>
          <w:rFonts w:ascii="Calibri" w:cs="Calibri" w:eastAsia="Calibri" w:hAnsi="Calibri"/>
          <w:b w:val="false"/>
          <w:bCs w:val="false"/>
          <w:i w:val="false"/>
          <w:iCs w:val="false"/>
          <w:sz w:val="22"/>
          <w:szCs w:val="22"/>
        </w:rPr>
        <w:t xml:space="preserve">Aanvullend goed antwoord: de wensen en risicohouding van de deelnemer zelf, en of hij overzicht boven optimalisatie stelt.</w:t>
      </w:r>
    </w:p>
    <w:p>
      <w:pPr>
        <w:spacing w:after="140" w:line="300"/>
      </w:pPr>
      <w:r>
        <w:rPr>
          <w:rFonts w:ascii="Calibri" w:cs="Calibri" w:eastAsia="Calibri" w:hAnsi="Calibri"/>
          <w:b w:val="false"/>
          <w:bCs w:val="false"/>
          <w:i w:val="false"/>
          <w:iCs w:val="false"/>
          <w:sz w:val="22"/>
          <w:szCs w:val="22"/>
        </w:rPr>
        <w:t xml:space="preserve">Wat je nooit doet: “ja, dan heb je alles bij elkaar” zeggen zonder deze vijf punten. Overzicht is een reëel voordeel, maar het is één afweging tussen meerdere en niet automatisch de zwaarste.</w:t>
      </w:r>
    </w:p>
    <w:p>
      <w:pPr>
        <w:spacing w:after="100"/>
      </w:pPr>
    </w:p>
    <w:p>
      <w:pPr>
        <w:pStyle w:val="Heading2"/>
        <w:spacing w:after="120" w:before="200"/>
      </w:pPr>
      <w:r>
        <w:rPr>
          <w:rFonts w:ascii="Georgia" w:cs="Georgia" w:eastAsia="Georgia" w:hAnsi="Georgia"/>
          <w:b/>
          <w:bCs/>
          <w:color w:val="2563A8"/>
          <w:sz w:val="28"/>
          <w:szCs w:val="28"/>
        </w:rPr>
        <w:t xml:space="preserve">Opdracht 9.4 — Verevening of conversie</w:t>
      </w:r>
    </w:p>
    <w:p>
      <w:pPr>
        <w:spacing w:after="140" w:line="300"/>
      </w:pPr>
      <w:r>
        <w:rPr>
          <w:rFonts w:ascii="Calibri" w:cs="Calibri" w:eastAsia="Calibri" w:hAnsi="Calibri"/>
          <w:b w:val="false"/>
          <w:bCs w:val="false"/>
          <w:i w:val="false"/>
          <w:iCs w:val="false"/>
          <w:sz w:val="22"/>
          <w:szCs w:val="22"/>
        </w:rPr>
        <w:t xml:space="preserve">Voor elk paar: welke vorm ligt meer voor de hand, en waarom?</w:t>
      </w:r>
    </w:p>
    <w:p>
      <w:pPr>
        <w:spacing w:after="140" w:line="300"/>
      </w:pPr>
      <w:r>
        <w:rPr>
          <w:rFonts w:ascii="Calibri" w:cs="Calibri" w:eastAsia="Calibri" w:hAnsi="Calibri"/>
          <w:b w:val="false"/>
          <w:bCs w:val="false"/>
          <w:i w:val="false"/>
          <w:iCs w:val="false"/>
          <w:sz w:val="22"/>
          <w:szCs w:val="22"/>
        </w:rPr>
        <w:t xml:space="preserve">a. Een scheiding waarbij beide ex-partners volledige ontvlechting willen en geen contact meer wensen.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scheiding waarbij de ex-partner aanzienlijk ouder is en een slechte gezondheid heeft.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scheiding waarbij de deelnemer nog dertig jaar tot pensionering heeft.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Conversie — een zelfstandig eigen recht, geen afhankelijkheid meer van het leven van de ander en geen jaarlijkse verrekening.</w:t>
      </w:r>
    </w:p>
    <w:p>
      <w:pPr>
        <w:spacing w:after="140" w:line="300"/>
      </w:pPr>
      <w:r>
        <w:rPr>
          <w:rFonts w:ascii="Calibri" w:cs="Calibri" w:eastAsia="Calibri" w:hAnsi="Calibri"/>
          <w:b w:val="false"/>
          <w:bCs w:val="false"/>
          <w:i w:val="false"/>
          <w:iCs w:val="false"/>
          <w:sz w:val="22"/>
          <w:szCs w:val="22"/>
        </w:rPr>
        <w:t xml:space="preserve">b. Hier verschillen de belangen. Bij conversie valt het toebedeelde deel bij vooroverlijden van de ex-partner niet terug naar de deelnemer; bij verevening wel. De deelnemer heeft dus belang bij verevening, de ex-partner mogelijk bij conversie. Dit is een onderhandelingspunt en geen technische keuze — en het is een van de weinige momenten waarop een adviseur expliciet moet zeggen dat hij niet voor beide partijen tegelijk kan optreden.</w:t>
      </w:r>
    </w:p>
    <w:p>
      <w:pPr>
        <w:spacing w:after="140" w:line="300"/>
      </w:pPr>
      <w:r>
        <w:rPr>
          <w:rFonts w:ascii="Calibri" w:cs="Calibri" w:eastAsia="Calibri" w:hAnsi="Calibri"/>
          <w:b w:val="false"/>
          <w:bCs w:val="false"/>
          <w:i w:val="false"/>
          <w:iCs w:val="false"/>
          <w:sz w:val="22"/>
          <w:szCs w:val="22"/>
        </w:rPr>
        <w:t xml:space="preserve">c. Praktisch pleit veel voor conversie: dertig jaar administratieve verbondenheid tussen ex-partners levert voorspelbaar problemen op bij adreswijzigingen, overlijden en hertrouwen.</w:t>
      </w:r>
    </w:p>
    <w:p>
      <w:pPr>
        <w:spacing w:after="100"/>
      </w:pPr>
    </w:p>
    <w:p>
      <w:pPr>
        <w:pStyle w:val="Heading2"/>
        <w:spacing w:after="120" w:before="200"/>
      </w:pPr>
      <w:r>
        <w:rPr>
          <w:rFonts w:ascii="Georgia" w:cs="Georgia" w:eastAsia="Georgia" w:hAnsi="Georgia"/>
          <w:b/>
          <w:bCs/>
          <w:color w:val="2563A8"/>
          <w:sz w:val="28"/>
          <w:szCs w:val="28"/>
        </w:rPr>
        <w:t xml:space="preserve">Opdracht 9.5 — Het bijzonder partnerpensioen dat er niet is</w:t>
      </w:r>
    </w:p>
    <w:p>
      <w:pPr>
        <w:spacing w:after="140" w:line="300"/>
      </w:pPr>
      <w:r>
        <w:rPr>
          <w:rFonts w:ascii="Calibri" w:cs="Calibri" w:eastAsia="Calibri" w:hAnsi="Calibri"/>
          <w:b w:val="false"/>
          <w:bCs w:val="false"/>
          <w:i w:val="false"/>
          <w:iCs w:val="false"/>
          <w:sz w:val="22"/>
          <w:szCs w:val="22"/>
        </w:rPr>
        <w:t xml:space="preserve">Onder de nieuwe regeling van Van Doorn Techniek is het partnerpensioen vóór de pensioendatum op risicobasis verzekerd.</w:t>
      </w:r>
    </w:p>
    <w:p>
      <w:pPr>
        <w:spacing w:after="140" w:line="300"/>
      </w:pPr>
      <w:r>
        <w:rPr>
          <w:rFonts w:ascii="Calibri" w:cs="Calibri" w:eastAsia="Calibri" w:hAnsi="Calibri"/>
          <w:b w:val="false"/>
          <w:bCs w:val="false"/>
          <w:i w:val="false"/>
          <w:iCs w:val="false"/>
          <w:sz w:val="22"/>
          <w:szCs w:val="22"/>
        </w:rPr>
        <w:t xml:space="preserve">a. Wat betekent dat voor een medewerker die in 2030 scheidt, met betrekking tot het bijzonder partnerpensioen?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Waarom is dat een verandering ten opzichte van de oude situatie?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Wie moet dit uitleggen, en op welk moment?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Er is over de periode ná de omzetting niets opgebouwd, dus er is voor die periode geen bijzonder partnerpensioen voor de ex-partner. Wat vóór de omzetting op opbouwbasis is opgebouwd, blijft wel bestaan.</w:t>
      </w:r>
    </w:p>
    <w:p>
      <w:pPr>
        <w:spacing w:after="140" w:line="300"/>
      </w:pPr>
      <w:r>
        <w:rPr>
          <w:rFonts w:ascii="Calibri" w:cs="Calibri" w:eastAsia="Calibri" w:hAnsi="Calibri"/>
          <w:b w:val="false"/>
          <w:bCs w:val="false"/>
          <w:i w:val="false"/>
          <w:iCs w:val="false"/>
          <w:sz w:val="22"/>
          <w:szCs w:val="22"/>
        </w:rPr>
        <w:t xml:space="preserve">b. In de oude opbouwvariant groeide het partnerpensioen mee met de diensttijd en bleef het bij scheiding als bijzonder partnerpensioen voor de ex-partner achter. Die bron droogt op.</w:t>
      </w:r>
    </w:p>
    <w:p>
      <w:pPr>
        <w:spacing w:after="140" w:line="300"/>
      </w:pPr>
      <w:r>
        <w:rPr>
          <w:rFonts w:ascii="Calibri" w:cs="Calibri" w:eastAsia="Calibri" w:hAnsi="Calibri"/>
          <w:b w:val="false"/>
          <w:bCs w:val="false"/>
          <w:i w:val="false"/>
          <w:iCs w:val="false"/>
          <w:sz w:val="22"/>
          <w:szCs w:val="22"/>
        </w:rPr>
        <w:t xml:space="preserve">c. In de eerste plaats de uitvoerder, in de informatie bij de transitie en bij een scheidingsmelding. In de praktijk komt dit vaak pas aan het licht bij de scheidingsafwikkeling, en dan bij de advocaat of mediator — die er niet altijd op bedacht is. Voor een adviseur is dit een punt waarmee je je onderscheidt.</w:t>
      </w:r>
    </w:p>
    <w:p>
      <w:pPr>
        <w:spacing w:after="100"/>
      </w:pPr>
    </w:p>
    <w:p>
      <w:pPr>
        <w:pStyle w:val="Heading2"/>
        <w:spacing w:after="120" w:before="200"/>
      </w:pPr>
      <w:r>
        <w:rPr>
          <w:rFonts w:ascii="Georgia" w:cs="Georgia" w:eastAsia="Georgia" w:hAnsi="Georgia"/>
          <w:b/>
          <w:bCs/>
          <w:color w:val="2563A8"/>
          <w:sz w:val="28"/>
          <w:szCs w:val="28"/>
        </w:rPr>
        <w:t xml:space="preserve">Opdracht 9.6 — Onomkeerbaar</w:t>
      </w:r>
    </w:p>
    <w:p>
      <w:pPr>
        <w:spacing w:after="140" w:line="300"/>
      </w:pPr>
      <w:r>
        <w:rPr>
          <w:rFonts w:ascii="Calibri" w:cs="Calibri" w:eastAsia="Calibri" w:hAnsi="Calibri"/>
          <w:b w:val="false"/>
          <w:bCs w:val="false"/>
          <w:i w:val="false"/>
          <w:iCs w:val="false"/>
          <w:sz w:val="22"/>
          <w:szCs w:val="22"/>
        </w:rPr>
        <w:t xml:space="preserve">Rangschik de volgende keuzes van “meest onomkeerbaar” naar “nog enigszins bij te sturen” en licht de bovenste toe.</w:t>
      </w:r>
    </w:p>
    <w:p>
      <w:pPr>
        <w:spacing w:after="140" w:line="300"/>
      </w:pPr>
      <w:r>
        <w:rPr>
          <w:rFonts w:ascii="Calibri" w:cs="Calibri" w:eastAsia="Calibri" w:hAnsi="Calibri"/>
          <w:b w:val="false"/>
          <w:bCs w:val="false"/>
          <w:i w:val="false"/>
          <w:iCs w:val="false"/>
          <w:sz w:val="22"/>
          <w:szCs w:val="22"/>
        </w:rPr>
        <w:t xml:space="preserve">a. Deeltijdpensioen per 60 jaar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Uitruil van ouderdomspensioen naar een hoger partnerpensioen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Keuze voor een variabele uitkering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Uitstellen van de pensioendatum met twee jaar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Meest onomkeerbaar: b — de uitruil wordt op de ingangsdatum definitief vastgelegd en vergt bovendien instemming van de partner. Daarna c (na aankoop van de uitkeringsvorm ligt het regime vast, met beperkte overstapmomenten). Dan a (afhankelijk van het reglement kan het deeltijddeel later worden uitgebreid). Het minst: d — uitstellen is een besluit dat je tot het moment zelf nog kunt herzien.</w:t>
            </w:r>
          </w:p>
        </w:tc>
      </w:tr>
    </w:tbl>
    <w:p>
      <w:pPr>
        <w:spacing w:after="140" w:line="300"/>
      </w:pPr>
      <w:r>
        <w:rPr>
          <w:rFonts w:ascii="Calibri" w:cs="Calibri" w:eastAsia="Calibri" w:hAnsi="Calibri"/>
          <w:b w:val="false"/>
          <w:bCs w:val="false"/>
          <w:i w:val="false"/>
          <w:iCs w:val="false"/>
          <w:sz w:val="22"/>
          <w:szCs w:val="22"/>
        </w:rPr>
        <w:t xml:space="preserve">Het punt van deze opdracht is niet de exacte volgorde maar de gewoonte: vraag bij elke keuze wat er daarna nog kan. Dat is de kern van keuzebegeleiding.</w:t>
      </w:r>
    </w:p>
    <w:p>
      <w:pPr>
        <w:spacing w:after="100"/>
      </w:pPr>
    </w:p>
    <w:p>
      <w:pPr>
        <w:pStyle w:val="Heading2"/>
        <w:spacing w:after="120" w:before="200"/>
      </w:pPr>
      <w:r>
        <w:rPr>
          <w:rFonts w:ascii="Georgia" w:cs="Georgia" w:eastAsia="Georgia" w:hAnsi="Georgia"/>
          <w:b/>
          <w:bCs/>
          <w:color w:val="2563A8"/>
          <w:sz w:val="28"/>
          <w:szCs w:val="28"/>
        </w:rPr>
        <w:t xml:space="preserve">Opdracht 9.7 — Het dossier van Karel</w:t>
      </w:r>
    </w:p>
    <w:p>
      <w:pPr>
        <w:spacing w:after="140" w:line="300"/>
      </w:pPr>
      <w:r>
        <w:rPr>
          <w:rFonts w:ascii="Calibri" w:cs="Calibri" w:eastAsia="Calibri" w:hAnsi="Calibri"/>
          <w:b w:val="false"/>
          <w:bCs w:val="false"/>
          <w:i w:val="false"/>
          <w:iCs w:val="false"/>
          <w:sz w:val="22"/>
          <w:szCs w:val="22"/>
        </w:rPr>
        <w:t xml:space="preserve">Neem de tijdlijn uit paragraaf 9.9.</w:t>
      </w:r>
    </w:p>
    <w:p>
      <w:pPr>
        <w:spacing w:after="140" w:line="300"/>
      </w:pPr>
      <w:r>
        <w:rPr>
          <w:rFonts w:ascii="Calibri" w:cs="Calibri" w:eastAsia="Calibri" w:hAnsi="Calibri"/>
          <w:b w:val="false"/>
          <w:bCs w:val="false"/>
          <w:i w:val="false"/>
          <w:iCs w:val="false"/>
          <w:sz w:val="22"/>
          <w:szCs w:val="22"/>
        </w:rPr>
        <w:t xml:space="preserve">a. Hoeveel pensioenbronnen heeft Karel op zijn pensioendatum, en welke?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twee vragen uit zijn verleden moeten worden uitgezocht voordat je hem kunt adviseren?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partij heeft het volledige beeld?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Vier: (1) de premievrije middelloonaanspraak uit 1994–2010; (2) het staffelkapitaal bij Meridiaan tot 2027; (3) het nieuwe kapitaal vanaf 2027; (4) eventueel een deel dat bij de scheiding van 2013 is toebedeeld aan zijn ex-partner — dat is geen bron vóór hem maar een vermindering, die wel in beeld moet zijn.</w:t>
      </w:r>
    </w:p>
    <w:p>
      <w:pPr>
        <w:spacing w:after="140" w:line="300"/>
      </w:pPr>
      <w:r>
        <w:rPr>
          <w:rFonts w:ascii="Calibri" w:cs="Calibri" w:eastAsia="Calibri" w:hAnsi="Calibri"/>
          <w:b w:val="false"/>
          <w:bCs w:val="false"/>
          <w:i w:val="false"/>
          <w:iCs w:val="false"/>
          <w:sz w:val="22"/>
          <w:szCs w:val="22"/>
        </w:rPr>
        <w:t xml:space="preserve">b. Ten eerste: is de scheiding van 2013 destijds bij de uitvoerders gemeld, en is er gekozen voor verevening of conversie? Ten tweede: welk karakter had het partnerpensioen in de regeling van 1994–2010, en is er een bijzonder partnerpensioen voor zijn ex-partner blijven staan? Dat laatste raakt direct de positie van Marleen.</w:t>
      </w:r>
    </w:p>
    <w:p>
      <w:pPr>
        <w:spacing w:after="140" w:line="300"/>
      </w:pPr>
      <w:r>
        <w:rPr>
          <w:rFonts w:ascii="Calibri" w:cs="Calibri" w:eastAsia="Calibri" w:hAnsi="Calibri"/>
          <w:b w:val="false"/>
          <w:bCs w:val="false"/>
          <w:i w:val="false"/>
          <w:iCs w:val="false"/>
          <w:sz w:val="22"/>
          <w:szCs w:val="22"/>
        </w:rPr>
        <w:t xml:space="preserve">c. Niemand. Mijnpensioenoverzicht.nl toont veel maar niet alles, en zeker niet de voorwaarden. De uitvoerders kennen elk hun eigen deel. Karel zelf heeft de brieven vermoedelijk niet meer.</w:t>
      </w:r>
    </w:p>
    <w:p>
      <w:pPr>
        <w:spacing w:after="100"/>
      </w:pPr>
    </w:p>
    <w:p>
      <w:pPr>
        <w:pStyle w:val="Heading2"/>
        <w:spacing w:after="120" w:before="200"/>
      </w:pPr>
      <w:r>
        <w:rPr>
          <w:rFonts w:ascii="Georgia" w:cs="Georgia" w:eastAsia="Georgia" w:hAnsi="Georgia"/>
          <w:b/>
          <w:bCs/>
          <w:color w:val="2563A8"/>
          <w:sz w:val="28"/>
          <w:szCs w:val="28"/>
        </w:rPr>
        <w:t xml:space="preserve">Opdracht 9.8 — Je eigen dossier, afgerond</w:t>
      </w:r>
    </w:p>
    <w:p>
      <w:pPr>
        <w:spacing w:after="140" w:line="300"/>
      </w:pPr>
      <w:r>
        <w:rPr>
          <w:rFonts w:ascii="Calibri" w:cs="Calibri" w:eastAsia="Calibri" w:hAnsi="Calibri"/>
          <w:b w:val="false"/>
          <w:bCs w:val="false"/>
          <w:i w:val="false"/>
          <w:iCs w:val="false"/>
          <w:sz w:val="22"/>
          <w:szCs w:val="22"/>
        </w:rPr>
        <w:t xml:space="preserve">Neem het dossier waarmee je sinds opdracht 1.8 werkt. Kies één fictieve of geanonimiseerde deelnemer en beschrijf zijn reis: wanneer toegetreden, wat er verandert bij de transitie, welke keuzes hij de komende jaren krijgt en op welk moment de kans op een fout het grootst is.</w:t>
      </w:r>
    </w:p>
    <w:p>
      <w:pPr>
        <w:spacing w:after="140" w:line="300"/>
      </w:pPr>
      <w:r>
        <w:rPr>
          <w:rFonts w:ascii="Calibri" w:cs="Calibri" w:eastAsia="Calibri" w:hAnsi="Calibri"/>
          <w:b w:val="false"/>
          <w:bCs w:val="false"/>
          <w:i w:val="false"/>
          <w:iCs w:val="false"/>
          <w:sz w:val="22"/>
          <w:szCs w:val="22"/>
        </w:rPr>
        <w:t xml:space="preserve">Neem dit mee naar deel 10 — het is de basis voor je capstone.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minstens vier momenten benoemd; per moment de handelende partij; en een onderbouwde uitspraak over het grootste risicomoment. Sterke uitwerkingen wijzen niet de pensioendatum aan maar een uitdiensttredings- of mutatiemoment — daar zit de stille fout.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2026-08-17T11:22:44.346Z</dcterms:created>
  <dcterms:modified xsi:type="dcterms:W3CDTF">2026-08-17T11:22:44.346Z</dcterms:modified>
</cp:coreProperties>
</file>

<file path=docProps/custom.xml><?xml version="1.0" encoding="utf-8"?>
<Properties xmlns="http://schemas.openxmlformats.org/officeDocument/2006/custom-properties" xmlns:vt="http://schemas.openxmlformats.org/officeDocument/2006/docPropsVTypes"/>
</file>