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10 — Examentraining en capstone</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10 — Examentraining en capstone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10.1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je eigen kennisgroei benoemen aan de hand van de hermeting van de nulmeting uit deel 1;</w:t>
      </w:r>
    </w:p>
    <w:p>
      <w:pPr>
        <w:pStyle w:val="ListParagraph"/>
        <w:numPr>
          <w:ilvl w:val="0"/>
          <w:numId w:val="1"/>
        </w:numPr>
        <w:spacing w:after="80"/>
      </w:pPr>
      <w:r>
        <w:rPr>
          <w:rFonts w:ascii="Calibri" w:cs="Calibri" w:eastAsia="Calibri" w:hAnsi="Calibri"/>
          <w:sz w:val="22"/>
          <w:szCs w:val="22"/>
        </w:rPr>
        <w:t xml:space="preserve">2. de structuur en vraagstelling van het Wft-examen Pensioen herkennen en een examenvraag gestructureerd aanpakken;</w:t>
      </w:r>
    </w:p>
    <w:p>
      <w:pPr>
        <w:pStyle w:val="ListParagraph"/>
        <w:numPr>
          <w:ilvl w:val="0"/>
          <w:numId w:val="1"/>
        </w:numPr>
        <w:spacing w:after="80"/>
      </w:pPr>
      <w:r>
        <w:rPr>
          <w:rFonts w:ascii="Calibri" w:cs="Calibri" w:eastAsia="Calibri" w:hAnsi="Calibri"/>
          <w:sz w:val="22"/>
          <w:szCs w:val="22"/>
        </w:rPr>
        <w:t xml:space="preserve">3. een compleet transitieadvies opstellen voor een werkgever met een verzekerde regeling;</w:t>
      </w:r>
    </w:p>
    <w:p>
      <w:pPr>
        <w:pStyle w:val="ListParagraph"/>
        <w:numPr>
          <w:ilvl w:val="0"/>
          <w:numId w:val="1"/>
        </w:numPr>
        <w:spacing w:after="80"/>
      </w:pPr>
      <w:r>
        <w:rPr>
          <w:rFonts w:ascii="Calibri" w:cs="Calibri" w:eastAsia="Calibri" w:hAnsi="Calibri"/>
          <w:sz w:val="22"/>
          <w:szCs w:val="22"/>
        </w:rPr>
        <w:t xml:space="preserve">4. dat advies mondeling verdedigen tegenover kritische rollen;</w:t>
      </w:r>
    </w:p>
    <w:p>
      <w:pPr>
        <w:pStyle w:val="ListParagraph"/>
        <w:numPr>
          <w:ilvl w:val="0"/>
          <w:numId w:val="1"/>
        </w:numPr>
        <w:spacing w:after="80"/>
      </w:pPr>
      <w:r>
        <w:rPr>
          <w:rFonts w:ascii="Calibri" w:cs="Calibri" w:eastAsia="Calibri" w:hAnsi="Calibri"/>
          <w:sz w:val="22"/>
          <w:szCs w:val="22"/>
        </w:rPr>
        <w:t xml:space="preserve">5. beoordelen of je klaar bent voor niveau 2, aan de hand van drie doorstroomcriteria.</w:t>
      </w:r>
    </w:p>
    <w:p>
      <w:pPr>
        <w:spacing w:after="100"/>
      </w:pPr>
    </w:p>
    <w:p>
      <w:pPr>
        <w:pStyle w:val="Heading2"/>
        <w:spacing w:after="120" w:before="200"/>
      </w:pPr>
      <w:r>
        <w:rPr>
          <w:rFonts w:ascii="Georgia" w:cs="Georgia" w:eastAsia="Georgia" w:hAnsi="Georgia"/>
          <w:b/>
          <w:bCs/>
          <w:color w:val="2563A8"/>
          <w:sz w:val="28"/>
          <w:szCs w:val="28"/>
        </w:rPr>
        <w:t xml:space="preserve">10.2 Terugblik: wat je nu kunt</w:t>
      </w:r>
    </w:p>
    <w:p>
      <w:pPr>
        <w:spacing w:after="140" w:line="300"/>
      </w:pPr>
      <w:r>
        <w:rPr>
          <w:rFonts w:ascii="Calibri" w:cs="Calibri" w:eastAsia="Calibri" w:hAnsi="Calibri"/>
          <w:b w:val="false"/>
          <w:bCs w:val="false"/>
          <w:i w:val="false"/>
          <w:iCs w:val="false"/>
          <w:sz w:val="22"/>
          <w:szCs w:val="22"/>
        </w:rPr>
        <w:t xml:space="preserve">Negen dagdelen geleden begon je met drie vragen die je zonder opzoeken moest beantwoorden. Vandaag beantwoord je ze opnieuw. Voordat je dat doet, hier de gereedschapskist die je hebt opgebouwd: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drieluik</w:t>
      </w:r>
      <w:r>
        <w:rPr>
          <w:rFonts w:ascii="Calibri" w:cs="Calibri" w:eastAsia="Calibri" w:hAnsi="Calibri"/>
          <w:b w:val="false"/>
          <w:bCs w:val="false"/>
          <w:i w:val="false"/>
          <w:iCs w:val="false"/>
          <w:sz w:val="22"/>
          <w:szCs w:val="22"/>
        </w:rPr>
        <w:t xml:space="preserve"> (deel 1) — wie belooft wat, wie voert uit, wie draagt het risico.</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driehoek</w:t>
      </w:r>
      <w:r>
        <w:rPr>
          <w:rFonts w:ascii="Calibri" w:cs="Calibri" w:eastAsia="Calibri" w:hAnsi="Calibri"/>
          <w:b w:val="false"/>
          <w:bCs w:val="false"/>
          <w:i w:val="false"/>
          <w:iCs w:val="false"/>
          <w:sz w:val="22"/>
          <w:szCs w:val="22"/>
        </w:rPr>
        <w:t xml:space="preserve"> (deel 2) — pensioenovereenkomst, uitvoeringsovereenkomst of uitvoeringsreglement, pensioenreglement. Wijzigen begint altijd bovenaan.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vier analysevragen</w:t>
      </w:r>
      <w:r>
        <w:rPr>
          <w:rFonts w:ascii="Calibri" w:cs="Calibri" w:eastAsia="Calibri" w:hAnsi="Calibri"/>
          <w:b w:val="false"/>
          <w:bCs w:val="false"/>
          <w:i w:val="false"/>
          <w:iCs w:val="false"/>
          <w:sz w:val="22"/>
          <w:szCs w:val="22"/>
        </w:rPr>
        <w:t xml:space="preserve"> (deel 1 en 4) — welk type overeenkomst, wie voert uit, is de regeling conform, en zo nee: op welke overgangsgrond en tot wanneer.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scheidslijnkaart</w:t>
      </w:r>
      <w:r>
        <w:rPr>
          <w:rFonts w:ascii="Calibri" w:cs="Calibri" w:eastAsia="Calibri" w:hAnsi="Calibri"/>
          <w:b w:val="false"/>
          <w:bCs w:val="false"/>
          <w:i w:val="false"/>
          <w:iCs w:val="false"/>
          <w:sz w:val="22"/>
          <w:szCs w:val="22"/>
        </w:rPr>
        <w:t xml:space="preserve"> (deel 5) — premieovereenkomst, vlakke premie, binnen de fiscale grens, nabestaandenpensioen conform. Vier keer ja, anders niet conform.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drie soorten niet-conformiteit</w:t>
      </w:r>
      <w:r>
        <w:rPr>
          <w:rFonts w:ascii="Calibri" w:cs="Calibri" w:eastAsia="Calibri" w:hAnsi="Calibri"/>
          <w:b w:val="false"/>
          <w:bCs w:val="false"/>
          <w:i w:val="false"/>
          <w:iCs w:val="false"/>
          <w:sz w:val="22"/>
          <w:szCs w:val="22"/>
        </w:rPr>
        <w:t xml:space="preserve"> (deel 5) — verkeerd karakter, leeftijdsafhankelijke premie, fout in de details.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zeven beoordelingsvragen bij compensatie</w:t>
      </w:r>
      <w:r>
        <w:rPr>
          <w:rFonts w:ascii="Calibri" w:cs="Calibri" w:eastAsia="Calibri" w:hAnsi="Calibri"/>
          <w:b w:val="false"/>
          <w:bCs w:val="false"/>
          <w:i w:val="false"/>
          <w:iCs w:val="false"/>
          <w:sz w:val="22"/>
          <w:szCs w:val="22"/>
        </w:rPr>
        <w:t xml:space="preserve"> (deel 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reisvraag</w:t>
      </w:r>
      <w:r>
        <w:rPr>
          <w:rFonts w:ascii="Calibri" w:cs="Calibri" w:eastAsia="Calibri" w:hAnsi="Calibri"/>
          <w:b w:val="false"/>
          <w:bCs w:val="false"/>
          <w:i w:val="false"/>
          <w:iCs w:val="false"/>
          <w:sz w:val="22"/>
          <w:szCs w:val="22"/>
        </w:rPr>
        <w:t xml:space="preserve"> (deel 9) — welk overgangsmoment draagt hier het grootste risico?</w:t>
      </w:r>
    </w:p>
    <w:p>
      <w:pPr>
        <w:spacing w:after="140" w:line="300"/>
      </w:pPr>
      <w:r>
        <w:rPr>
          <w:rFonts w:ascii="Calibri" w:cs="Calibri" w:eastAsia="Calibri" w:hAnsi="Calibri"/>
          <w:b w:val="false"/>
          <w:bCs w:val="false"/>
          <w:i w:val="false"/>
          <w:iCs w:val="false"/>
          <w:sz w:val="22"/>
          <w:szCs w:val="22"/>
        </w:rPr>
        <w:t xml:space="preserve">Wie deze zeven instrumenten kan toepassen, kan elk dossier dat hij tegenkomt op een verdedigbare manier openbreken. Dat is precies wat niveau 1 beoogde.</w:t>
      </w:r>
    </w:p>
    <w:p>
      <w:pPr>
        <w:spacing w:after="100"/>
      </w:pPr>
    </w:p>
    <w:p>
      <w:pPr>
        <w:pStyle w:val="Heading2"/>
        <w:spacing w:after="120" w:before="200"/>
      </w:pPr>
      <w:r>
        <w:rPr>
          <w:rFonts w:ascii="Georgia" w:cs="Georgia" w:eastAsia="Georgia" w:hAnsi="Georgia"/>
          <w:b/>
          <w:bCs/>
          <w:color w:val="2563A8"/>
          <w:sz w:val="28"/>
          <w:szCs w:val="28"/>
        </w:rPr>
        <w:t xml:space="preserve">10.3 De hermeting</w:t>
      </w:r>
    </w:p>
    <w:p>
      <w:pPr>
        <w:spacing w:after="140" w:line="300"/>
      </w:pPr>
      <w:r>
        <w:rPr>
          <w:rFonts w:ascii="Calibri" w:cs="Calibri" w:eastAsia="Calibri" w:hAnsi="Calibri"/>
          <w:b w:val="false"/>
          <w:bCs w:val="false"/>
          <w:i w:val="false"/>
          <w:iCs w:val="false"/>
          <w:sz w:val="22"/>
          <w:szCs w:val="22"/>
        </w:rPr>
        <w:t xml:space="preserve">Beantwoord opnieuw, zonder je oude antwoorden erbij te pakken:</w:t>
      </w:r>
    </w:p>
    <w:p>
      <w:pPr>
        <w:spacing w:after="140" w:line="300"/>
      </w:pPr>
      <w:r>
        <w:rPr>
          <w:rFonts w:ascii="Calibri" w:cs="Calibri" w:eastAsia="Calibri" w:hAnsi="Calibri"/>
          <w:b w:val="false"/>
          <w:bCs w:val="false"/>
          <w:i w:val="false"/>
          <w:iCs w:val="false"/>
          <w:sz w:val="22"/>
          <w:szCs w:val="22"/>
        </w:rPr>
        <w:t xml:space="preserve">a. Wat gebeurt er met mijn AOW als mijn pensioenfonds overgaat naar het nieuwe stelsel?</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Wie bepaalt hoeveel pensioenpremie er wordt betaald?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Wie draagt het risico als de beleggingen tegenvallen?</w:t>
      </w:r>
    </w:p>
    <w:p>
      <w:pPr>
        <w:spacing w:after="140" w:line="300"/>
      </w:pPr>
      <w:r>
        <w:rPr>
          <w:rFonts w:ascii="Calibri" w:cs="Calibri" w:eastAsia="Calibri" w:hAnsi="Calibri"/>
          <w:b w:val="false"/>
          <w:bCs w:val="false"/>
          <w:i w:val="false"/>
          <w:iCs w:val="false"/>
          <w:sz w:val="22"/>
          <w:szCs w:val="22"/>
        </w:rPr>
        <w:t xml:space="preserve">Leg daarna je oude antwoorden ernaast. Kijk niet alleen naar wat er goed of fout was, maar naar het </w:t>
      </w:r>
      <w:r>
        <w:rPr>
          <w:rFonts w:ascii="Calibri" w:cs="Calibri" w:eastAsia="Calibri" w:hAnsi="Calibri"/>
          <w:b/>
          <w:bCs/>
          <w:i w:val="false"/>
          <w:iCs w:val="false"/>
          <w:sz w:val="22"/>
          <w:szCs w:val="22"/>
        </w:rPr>
        <w:t xml:space="preserve">type</w:t>
      </w:r>
      <w:r>
        <w:rPr>
          <w:rFonts w:ascii="Calibri" w:cs="Calibri" w:eastAsia="Calibri" w:hAnsi="Calibri"/>
          <w:b w:val="false"/>
          <w:bCs w:val="false"/>
          <w:i w:val="false"/>
          <w:iCs w:val="false"/>
          <w:sz w:val="22"/>
          <w:szCs w:val="22"/>
        </w:rPr>
        <w:t xml:space="preserve"> verandering:</w:t>
      </w:r>
    </w:p>
    <w:p>
      <w:pPr>
        <w:pStyle w:val="ListParagraph"/>
        <w:numPr>
          <w:ilvl w:val="0"/>
          <w:numId w:val="1"/>
        </w:numPr>
        <w:spacing w:after="80"/>
      </w:pPr>
      <w:r>
        <w:rPr>
          <w:rFonts w:ascii="Calibri" w:cs="Calibri" w:eastAsia="Calibri" w:hAnsi="Calibri"/>
          <w:sz w:val="22"/>
          <w:szCs w:val="22"/>
        </w:rPr>
        <w:t xml:space="preserve">Van fout naar goed — kennis erbij.</w:t>
      </w:r>
    </w:p>
    <w:p>
      <w:pPr>
        <w:pStyle w:val="ListParagraph"/>
        <w:numPr>
          <w:ilvl w:val="0"/>
          <w:numId w:val="1"/>
        </w:numPr>
        <w:spacing w:after="80"/>
      </w:pPr>
      <w:r>
        <w:rPr>
          <w:rFonts w:ascii="Calibri" w:cs="Calibri" w:eastAsia="Calibri" w:hAnsi="Calibri"/>
          <w:sz w:val="22"/>
          <w:szCs w:val="22"/>
        </w:rPr>
        <w:t xml:space="preserve">Van kort naar genuanceerd — je bent gaan zien dat het antwoord van de situatie afhangt. Dit is de belangrijkste vorm van vooruitgang in dit vak.</w:t>
      </w:r>
    </w:p>
    <w:p>
      <w:pPr>
        <w:pStyle w:val="ListParagraph"/>
        <w:numPr>
          <w:ilvl w:val="0"/>
          <w:numId w:val="1"/>
        </w:numPr>
        <w:spacing w:after="80"/>
      </w:pPr>
      <w:r>
        <w:rPr>
          <w:rFonts w:ascii="Calibri" w:cs="Calibri" w:eastAsia="Calibri" w:hAnsi="Calibri"/>
          <w:sz w:val="22"/>
          <w:szCs w:val="22"/>
        </w:rPr>
        <w:t xml:space="preserve">Van zeker naar voorzichtig — je bent gaan zien wat je niet weet. Ook dat is winst; de meeste schade in de adviespraktijk komt van zekerheid zonder grond.</w:t>
      </w:r>
    </w:p>
    <w:p>
      <w:pPr>
        <w:spacing w:after="140" w:line="300"/>
      </w:pPr>
      <w:r>
        <w:rPr>
          <w:rFonts w:ascii="Calibri" w:cs="Calibri" w:eastAsia="Calibri" w:hAnsi="Calibri"/>
          <w:b w:val="false"/>
          <w:bCs w:val="false"/>
          <w:i w:val="false"/>
          <w:iCs w:val="false"/>
          <w:sz w:val="22"/>
          <w:szCs w:val="22"/>
        </w:rPr>
        <w:t xml:space="preserve">Wie bij b nu antwoordt “dat hangt ervan af — bij een bedrijfstakpensioenfonds de sociale partners in de cao, bij een verzekerde regeling de werkgever binnen de fiscale grenzen, en bij een vrijgestelde werkgever bovendien binnen de gelijkwaardigheidseis”, heeft niveau 1 gehaald.</w:t>
      </w:r>
    </w:p>
    <w:p>
      <w:pPr>
        <w:spacing w:after="100"/>
      </w:pPr>
    </w:p>
    <w:p>
      <w:pPr>
        <w:pStyle w:val="Heading2"/>
        <w:spacing w:after="120" w:before="200"/>
      </w:pPr>
      <w:r>
        <w:rPr>
          <w:rFonts w:ascii="Georgia" w:cs="Georgia" w:eastAsia="Georgia" w:hAnsi="Georgia"/>
          <w:b/>
          <w:bCs/>
          <w:color w:val="2563A8"/>
          <w:sz w:val="28"/>
          <w:szCs w:val="28"/>
        </w:rPr>
        <w:t xml:space="preserve">10.4 Het Wft-examen Pensioen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Positionering.</w:t>
      </w:r>
      <w:r>
        <w:rPr>
          <w:rFonts w:ascii="Calibri" w:cs="Calibri" w:eastAsia="Calibri" w:hAnsi="Calibri"/>
          <w:b w:val="false"/>
          <w:bCs w:val="false"/>
          <w:i w:val="false"/>
          <w:iCs w:val="false"/>
          <w:sz w:val="22"/>
          <w:szCs w:val="22"/>
        </w:rPr>
        <w:t xml:space="preserve"> Deze cursus bereidt voor op de examens van de beroepskwalificatie Adviseur Pensioen, waarvoor de modules Basis, Vermogen en Pensioen worden afgelegd. De eind- en toetstermen worden vastgesteld door het CDFD; die zijn leidend, en deze cursus is nadrukkelijk </w:t>
      </w:r>
      <w:r>
        <w:rPr>
          <w:rFonts w:ascii="Calibri" w:cs="Calibri" w:eastAsia="Calibri" w:hAnsi="Calibri"/>
          <w:b/>
          <w:bCs/>
          <w:i w:val="false"/>
          <w:iCs w:val="false"/>
          <w:sz w:val="22"/>
          <w:szCs w:val="22"/>
        </w:rPr>
        <w:t xml:space="preserve">geen vervanging</w:t>
      </w:r>
      <w:r>
        <w:rPr>
          <w:rFonts w:ascii="Calibri" w:cs="Calibri" w:eastAsia="Calibri" w:hAnsi="Calibri"/>
          <w:b w:val="false"/>
          <w:bCs w:val="false"/>
          <w:i w:val="false"/>
          <w:iCs w:val="false"/>
          <w:sz w:val="22"/>
          <w:szCs w:val="22"/>
        </w:rPr>
        <w:t xml:space="preserve"> van het officiële examenmateriaal. Controleer altijd de actuele versie van de toetstermen </w:t>
      </w:r>
      <w:r>
        <w:rPr>
          <w:rFonts w:ascii="Calibri" w:cs="Calibri" w:eastAsia="Calibri" w:hAnsi="Calibri"/>
          <w:b w:val="false"/>
          <w:bCs w:val="false"/>
          <w:i w:val="false"/>
          <w:iCs w:val="false"/>
          <w:sz w:val="22"/>
          <w:szCs w:val="22"/>
        </w:rPr>
        <w:t xml:space="preserve">[VERSIE-JAAR]</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het examen van je vraagt.</w:t>
      </w:r>
      <w:r>
        <w:rPr>
          <w:rFonts w:ascii="Calibri" w:cs="Calibri" w:eastAsia="Calibri" w:hAnsi="Calibri"/>
          <w:b w:val="false"/>
          <w:bCs w:val="false"/>
          <w:i w:val="false"/>
          <w:iCs w:val="false"/>
          <w:sz w:val="22"/>
          <w:szCs w:val="22"/>
        </w:rPr>
        <w:t xml:space="preserve"> Niet alleen kennis, maar toepassing in een klantsituatie: gegevens inventariseren, een passende oplossing adviseren aan werkgever of dga, en het advies actueel houden. De vragen zijn dus vaak casusvragen met meerdere gegevens, waarvan er enkele niet relevant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Aanpak van een examenvraag in vier stappen:</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Lees de vraag vóór de casus. Dan weet je waar je naar zoekt en laat je je niet afleiden door irrelevante gegevens.</w:t>
      </w:r>
    </w:p>
    <w:p>
      <w:pPr>
        <w:pStyle w:val="ListParagraph"/>
        <w:numPr>
          <w:ilvl w:val="0"/>
          <w:numId w:val="1"/>
        </w:numPr>
        <w:spacing w:after="80"/>
      </w:pPr>
      <w:r>
        <w:rPr>
          <w:rFonts w:ascii="Calibri" w:cs="Calibri" w:eastAsia="Calibri" w:hAnsi="Calibri"/>
          <w:sz w:val="22"/>
          <w:szCs w:val="22"/>
        </w:rPr>
        <w:t xml:space="preserve">2. Typeer de regeling. Karakter, uitvoerder, conform of niet. De vier analysevragen werken ook hier.</w:t>
      </w:r>
    </w:p>
    <w:p>
      <w:pPr>
        <w:pStyle w:val="ListParagraph"/>
        <w:numPr>
          <w:ilvl w:val="0"/>
          <w:numId w:val="1"/>
        </w:numPr>
        <w:spacing w:after="80"/>
      </w:pPr>
      <w:r>
        <w:rPr>
          <w:rFonts w:ascii="Calibri" w:cs="Calibri" w:eastAsia="Calibri" w:hAnsi="Calibri"/>
          <w:sz w:val="22"/>
          <w:szCs w:val="22"/>
        </w:rPr>
        <w:t xml:space="preserve">3. Streep antwoorden weg die feitelijk onjuist zijn. Meestal zijn er twee direct te elimineren.</w:t>
      </w:r>
    </w:p>
    <w:p>
      <w:pPr>
        <w:pStyle w:val="ListParagraph"/>
        <w:numPr>
          <w:ilvl w:val="0"/>
          <w:numId w:val="1"/>
        </w:numPr>
        <w:spacing w:after="80"/>
      </w:pPr>
      <w:r>
        <w:rPr>
          <w:rFonts w:ascii="Calibri" w:cs="Calibri" w:eastAsia="Calibri" w:hAnsi="Calibri"/>
          <w:sz w:val="22"/>
          <w:szCs w:val="22"/>
        </w:rPr>
        <w:t xml:space="preserve">4. Kies tussen de resterende twee op basis van de vraagstelling. Wordt gevraagd naar wat moet, wat mag, of wat verstandig is? Dat onderscheid bepaalt vaak het verschil tussen de laatste twee opties.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Veelvoorkomende valkuilen:</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percentages en bedragen die inmiddels zijn gewijzigd — leer de systematiek, niet de getallen;</w:t>
      </w:r>
    </w:p>
    <w:p>
      <w:pPr>
        <w:pStyle w:val="ListParagraph"/>
        <w:numPr>
          <w:ilvl w:val="0"/>
          <w:numId w:val="1"/>
        </w:numPr>
        <w:spacing w:after="80"/>
      </w:pPr>
      <w:r>
        <w:rPr>
          <w:rFonts w:ascii="Calibri" w:cs="Calibri" w:eastAsia="Calibri" w:hAnsi="Calibri"/>
          <w:sz w:val="22"/>
          <w:szCs w:val="22"/>
        </w:rPr>
        <w:t xml:space="preserve">vragen die “vóór de pensioendatum” en “ná de pensioendatum” door elkaar husselen (deel 8);</w:t>
      </w:r>
    </w:p>
    <w:p>
      <w:pPr>
        <w:pStyle w:val="ListParagraph"/>
        <w:numPr>
          <w:ilvl w:val="0"/>
          <w:numId w:val="1"/>
        </w:numPr>
        <w:spacing w:after="80"/>
      </w:pPr>
      <w:r>
        <w:rPr>
          <w:rFonts w:ascii="Calibri" w:cs="Calibri" w:eastAsia="Calibri" w:hAnsi="Calibri"/>
          <w:sz w:val="22"/>
          <w:szCs w:val="22"/>
        </w:rPr>
        <w:t xml:space="preserve">vragen waarin een gesloten regeling of een gesloten groep voorkomt (deel 6);</w:t>
      </w:r>
    </w:p>
    <w:p>
      <w:pPr>
        <w:pStyle w:val="ListParagraph"/>
        <w:numPr>
          <w:ilvl w:val="0"/>
          <w:numId w:val="1"/>
        </w:numPr>
        <w:spacing w:after="80"/>
      </w:pPr>
      <w:r>
        <w:rPr>
          <w:rFonts w:ascii="Calibri" w:cs="Calibri" w:eastAsia="Calibri" w:hAnsi="Calibri"/>
          <w:sz w:val="22"/>
          <w:szCs w:val="22"/>
        </w:rPr>
        <w:t xml:space="preserve">vragen waarin de verplichtstelling het echte onderwerp is en de regelingsinhoud de afleiding (deel 4).</w:t>
      </w:r>
    </w:p>
    <w:p>
      <w:pPr>
        <w:spacing w:after="100"/>
      </w:pPr>
    </w:p>
    <w:p>
      <w:pPr>
        <w:pStyle w:val="Heading2"/>
        <w:spacing w:after="120" w:before="200"/>
      </w:pPr>
      <w:r>
        <w:rPr>
          <w:rFonts w:ascii="Georgia" w:cs="Georgia" w:eastAsia="Georgia" w:hAnsi="Georgia"/>
          <w:b/>
          <w:bCs/>
          <w:color w:val="2563A8"/>
          <w:sz w:val="28"/>
          <w:szCs w:val="28"/>
        </w:rPr>
        <w:t xml:space="preserve">10.5 De capstone: het advies voor Van Doorn Techniek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opdracht.</w:t>
      </w:r>
      <w:r>
        <w:rPr>
          <w:rFonts w:ascii="Calibri" w:cs="Calibri" w:eastAsia="Calibri" w:hAnsi="Calibri"/>
          <w:b w:val="false"/>
          <w:bCs w:val="false"/>
          <w:i w:val="false"/>
          <w:iCs w:val="false"/>
          <w:sz w:val="22"/>
          <w:szCs w:val="22"/>
        </w:rPr>
        <w:t xml:space="preserve"> Je bent de adviseur van Van Doorn Techniek. Ferdi van Doorn heeft je gevraagd een advies uit te brengen over de overgang naar een Wtp-conforme regeling per 1 januari 2027. Je levert een schriftelijk advies van maximaal vier pagina’s en verdedigt dat in een gesprek van twintig minuten.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dossier.</w:t>
      </w:r>
      <w:r>
        <w:rPr>
          <w:rFonts w:ascii="Calibri" w:cs="Calibri" w:eastAsia="Calibri" w:hAnsi="Calibri"/>
          <w:b w:val="false"/>
          <w:bCs w:val="false"/>
          <w:i w:val="false"/>
          <w:iCs w:val="false"/>
          <w:sz w:val="22"/>
          <w:szCs w:val="22"/>
        </w:rPr>
        <w:t xml:space="preserve"> 85 medewerkers, gemiddelde leeftijd 46, installatiebedrijf, vrijgesteld van Bpf T&amp;I op grond van een eigen regeling. Premieovereenkomst bij Meridiaan Pensioen met een staffel van 8,4% tot 26,1%, ingegaan 2016 en ongewijzigd. Partnerpensioen op opbouwbasis, 70% van het te bereiken ouderdomspensioen. Contract loopt tot en met 31 december 2026, opzegtermijn zes maanden, stilzwijgende verlenging met één jaar. Karel Sanders (58) en Yasmin Chaibi (26) zijn representatief voor de uitersten in het bestand.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het advies moet bevatten:</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Diagnose. De vier toetsen, met per toets de uitkomst en de ontbrekende informatie.</w:t>
      </w:r>
    </w:p>
    <w:p>
      <w:pPr>
        <w:pStyle w:val="ListParagraph"/>
        <w:numPr>
          <w:ilvl w:val="0"/>
          <w:numId w:val="1"/>
        </w:numPr>
        <w:spacing w:after="80"/>
      </w:pPr>
      <w:r>
        <w:rPr>
          <w:rFonts w:ascii="Calibri" w:cs="Calibri" w:eastAsia="Calibri" w:hAnsi="Calibri"/>
          <w:sz w:val="22"/>
          <w:szCs w:val="22"/>
        </w:rPr>
        <w:t xml:space="preserve">2. De vrijstellingsvraag. Wat betekent de overgang van Bpf T&amp;I per 1 januari 2027 voor de gelijkwaardigheidseis?</w:t>
      </w:r>
    </w:p>
    <w:p>
      <w:pPr>
        <w:pStyle w:val="ListParagraph"/>
        <w:numPr>
          <w:ilvl w:val="0"/>
          <w:numId w:val="1"/>
        </w:numPr>
        <w:spacing w:after="80"/>
      </w:pPr>
      <w:r>
        <w:rPr>
          <w:rFonts w:ascii="Calibri" w:cs="Calibri" w:eastAsia="Calibri" w:hAnsi="Calibri"/>
          <w:sz w:val="22"/>
          <w:szCs w:val="22"/>
        </w:rPr>
        <w:t xml:space="preserve">3. De hoofdkeuze. Wel of geen eerbiedigende werking, met argumenten aan beide kanten en een expliciete aanbeveling.</w:t>
      </w:r>
    </w:p>
    <w:p>
      <w:pPr>
        <w:pStyle w:val="ListParagraph"/>
        <w:numPr>
          <w:ilvl w:val="0"/>
          <w:numId w:val="1"/>
        </w:numPr>
        <w:spacing w:after="80"/>
      </w:pPr>
      <w:r>
        <w:rPr>
          <w:rFonts w:ascii="Calibri" w:cs="Calibri" w:eastAsia="Calibri" w:hAnsi="Calibri"/>
          <w:sz w:val="22"/>
          <w:szCs w:val="22"/>
        </w:rPr>
        <w:t xml:space="preserve">4. De gevolgen voor het nabestaandenpensioen, met een uitspraak over wie erop achteruitgaat.</w:t>
      </w:r>
    </w:p>
    <w:p>
      <w:pPr>
        <w:pStyle w:val="ListParagraph"/>
        <w:numPr>
          <w:ilvl w:val="0"/>
          <w:numId w:val="1"/>
        </w:numPr>
        <w:spacing w:after="80"/>
      </w:pPr>
      <w:r>
        <w:rPr>
          <w:rFonts w:ascii="Calibri" w:cs="Calibri" w:eastAsia="Calibri" w:hAnsi="Calibri"/>
          <w:sz w:val="22"/>
          <w:szCs w:val="22"/>
        </w:rPr>
        <w:t xml:space="preserve">5. Compensatie, als die aan de orde is: voor wie, waaruit gefinancierd, en wat er gebeurt bij vertrek en na 2037.</w:t>
      </w:r>
    </w:p>
    <w:p>
      <w:pPr>
        <w:pStyle w:val="ListParagraph"/>
        <w:numPr>
          <w:ilvl w:val="0"/>
          <w:numId w:val="1"/>
        </w:numPr>
        <w:spacing w:after="80"/>
      </w:pPr>
      <w:r>
        <w:rPr>
          <w:rFonts w:ascii="Calibri" w:cs="Calibri" w:eastAsia="Calibri" w:hAnsi="Calibri"/>
          <w:sz w:val="22"/>
          <w:szCs w:val="22"/>
        </w:rPr>
        <w:t xml:space="preserve">6. Een tijdlijn met de harde data, achteruit gerekend vanaf de gewenste ingangsdatum.</w:t>
      </w:r>
    </w:p>
    <w:p>
      <w:pPr>
        <w:pStyle w:val="ListParagraph"/>
        <w:numPr>
          <w:ilvl w:val="0"/>
          <w:numId w:val="1"/>
        </w:numPr>
        <w:spacing w:after="80"/>
      </w:pPr>
      <w:r>
        <w:rPr>
          <w:rFonts w:ascii="Calibri" w:cs="Calibri" w:eastAsia="Calibri" w:hAnsi="Calibri"/>
          <w:sz w:val="22"/>
          <w:szCs w:val="22"/>
        </w:rPr>
        <w:t xml:space="preserve">7. Wat je niet weet en hoe je daarachter komt.</w:t>
      </w:r>
    </w:p>
    <w:p>
      <w:pPr>
        <w:spacing w:after="140" w:line="300"/>
      </w:pPr>
      <w:r>
        <w:rPr>
          <w:rFonts w:ascii="Calibri" w:cs="Calibri" w:eastAsia="Calibri" w:hAnsi="Calibri"/>
          <w:b w:val="false"/>
          <w:bCs w:val="false"/>
          <w:i w:val="false"/>
          <w:iCs w:val="false"/>
          <w:sz w:val="22"/>
          <w:szCs w:val="22"/>
        </w:rPr>
        <w:t xml:space="preserve">Onderdeel 7 telt volwaardig mee. Een advies dat doet alsof alles bekend is, is in dit vak geen goed advies.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verdediging.</w:t>
      </w:r>
      <w:r>
        <w:rPr>
          <w:rFonts w:ascii="Calibri" w:cs="Calibri" w:eastAsia="Calibri" w:hAnsi="Calibri"/>
          <w:b w:val="false"/>
          <w:bCs w:val="false"/>
          <w:i w:val="false"/>
          <w:iCs w:val="false"/>
          <w:sz w:val="22"/>
          <w:szCs w:val="22"/>
        </w:rPr>
        <w:t xml:space="preserve"> Vier rollen stellen vragen:</w:t>
      </w:r>
    </w:p>
    <w:p>
      <w:pPr>
        <w:pStyle w:val="ListParagraph"/>
        <w:numPr>
          <w:ilvl w:val="0"/>
          <w:numId w:val="1"/>
        </w:numPr>
        <w:spacing w:after="80"/>
      </w:pPr>
      <w:r>
        <w:rPr>
          <w:rFonts w:ascii="Calibri" w:cs="Calibri" w:eastAsia="Calibri" w:hAnsi="Calibri"/>
          <w:sz w:val="22"/>
          <w:szCs w:val="22"/>
        </w:rPr>
        <w:t xml:space="preserve">Ferdi van Doorn (directeur) — wil weten wat het kost en waarom het nu moet.</w:t>
      </w:r>
    </w:p>
    <w:p>
      <w:pPr>
        <w:pStyle w:val="ListParagraph"/>
        <w:numPr>
          <w:ilvl w:val="0"/>
          <w:numId w:val="1"/>
        </w:numPr>
        <w:spacing w:after="80"/>
      </w:pPr>
      <w:r>
        <w:rPr>
          <w:rFonts w:ascii="Calibri" w:cs="Calibri" w:eastAsia="Calibri" w:hAnsi="Calibri"/>
          <w:sz w:val="22"/>
          <w:szCs w:val="22"/>
        </w:rPr>
        <w:t xml:space="preserve">Ilse Groenewold (OR) — wil weten wie erop achteruitgaat en waarom de compensatie zo is verdeeld.</w:t>
      </w:r>
    </w:p>
    <w:p>
      <w:pPr>
        <w:pStyle w:val="ListParagraph"/>
        <w:numPr>
          <w:ilvl w:val="0"/>
          <w:numId w:val="1"/>
        </w:numPr>
        <w:spacing w:after="80"/>
      </w:pPr>
      <w:r>
        <w:rPr>
          <w:rFonts w:ascii="Calibri" w:cs="Calibri" w:eastAsia="Calibri" w:hAnsi="Calibri"/>
          <w:sz w:val="22"/>
          <w:szCs w:val="22"/>
        </w:rPr>
        <w:t xml:space="preserve">Karel Sanders (deelnemer) — wil weten wat er met zijn premie en met de dekking voor Marleen gebeurt.</w:t>
      </w:r>
    </w:p>
    <w:p>
      <w:pPr>
        <w:pStyle w:val="ListParagraph"/>
        <w:numPr>
          <w:ilvl w:val="0"/>
          <w:numId w:val="1"/>
        </w:numPr>
        <w:spacing w:after="80"/>
      </w:pPr>
      <w:r>
        <w:rPr>
          <w:rFonts w:ascii="Calibri" w:cs="Calibri" w:eastAsia="Calibri" w:hAnsi="Calibri"/>
          <w:sz w:val="22"/>
          <w:szCs w:val="22"/>
        </w:rPr>
        <w:t xml:space="preserve">Nadia El Amrani (Meridiaan) — wil weten of het uitvoerbaar is en of de aanlevertermijnen worden gehaald.</w:t>
      </w:r>
    </w:p>
    <w:p>
      <w:pPr>
        <w:spacing w:after="140" w:line="300"/>
      </w:pPr>
      <w:r>
        <w:rPr>
          <w:rFonts w:ascii="Calibri" w:cs="Calibri" w:eastAsia="Calibri" w:hAnsi="Calibri"/>
          <w:b w:val="false"/>
          <w:bCs w:val="false"/>
          <w:i w:val="false"/>
          <w:iCs w:val="false"/>
          <w:sz w:val="22"/>
          <w:szCs w:val="22"/>
        </w:rPr>
        <w:t xml:space="preserve">Elke rol krijgt vijf minuten. Je weet vooraf welke rollen er zijn, maar niet welke vragen zij stellen.</w:t>
      </w:r>
    </w:p>
    <w:p>
      <w:pPr>
        <w:spacing w:after="100"/>
      </w:pPr>
    </w:p>
    <w:p>
      <w:pPr>
        <w:pStyle w:val="Heading2"/>
        <w:spacing w:after="120" w:before="200"/>
      </w:pPr>
      <w:r>
        <w:rPr>
          <w:rFonts w:ascii="Georgia" w:cs="Georgia" w:eastAsia="Georgia" w:hAnsi="Georgia"/>
          <w:b/>
          <w:bCs/>
          <w:color w:val="2563A8"/>
          <w:sz w:val="28"/>
          <w:szCs w:val="28"/>
        </w:rPr>
        <w:t xml:space="preserve">10.6 Beoordelingsrubric</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Criterium</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Onvoldoende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Voldoende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Goed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Diagnose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Toetsen niet of onvolledig uitgevoerd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Alle vier toetsen uitgevoerd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Ook de ontbrekende informatie expliciet benoemd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 Overgangsrecht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Verwart eerbiedigende werking met “alles blijft”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Voorwaarden correct toegepast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Beide opties afgewogen met bestandsprognose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 Nabestaandenpensioen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Niet behandeld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Verandering benoemd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Benoemd wie erop achteruitgaat, met bedragen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 Tijdlijn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data of alleen 1-1-2028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Opzegtermijn en ingangsdatum benoemd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Achteruit gerekend met alle tussenstappen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 Verdediging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Wijkt uit of verschuilt zich achter de wet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Beantwoordt de vragen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Verschillende registers, zelfde feitelijke verhaal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 Eerlijkheid over onzekerheid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Doet alsof alles vaststaat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Benoemt de open punten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Benoemt hoe hij ze gaat sluiten</w:t>
            </w:r>
          </w:p>
        </w:tc>
      </w:tr>
    </w:tbl>
    <w:p>
      <w:pPr>
        <w:spacing w:after="140" w:line="300"/>
      </w:pPr>
      <w:r>
        <w:rPr>
          <w:rFonts w:ascii="Calibri" w:cs="Calibri" w:eastAsia="Calibri" w:hAnsi="Calibri"/>
          <w:b w:val="false"/>
          <w:bCs w:val="false"/>
          <w:i w:val="false"/>
          <w:iCs w:val="false"/>
          <w:sz w:val="22"/>
          <w:szCs w:val="22"/>
        </w:rPr>
        <w:t xml:space="preserve">Criterium 5 verdient toelichting. Je spreekt met een directeur, een OR-voorzitter, een monteur en een accountmanager. Het </w:t>
      </w:r>
      <w:r>
        <w:rPr>
          <w:rFonts w:ascii="Calibri" w:cs="Calibri" w:eastAsia="Calibri" w:hAnsi="Calibri"/>
          <w:b/>
          <w:bCs/>
          <w:i w:val="false"/>
          <w:iCs w:val="false"/>
          <w:sz w:val="22"/>
          <w:szCs w:val="22"/>
        </w:rPr>
        <w:t xml:space="preserve">register</w:t>
      </w:r>
      <w:r>
        <w:rPr>
          <w:rFonts w:ascii="Calibri" w:cs="Calibri" w:eastAsia="Calibri" w:hAnsi="Calibri"/>
          <w:b w:val="false"/>
          <w:bCs w:val="false"/>
          <w:i w:val="false"/>
          <w:iCs w:val="false"/>
          <w:sz w:val="22"/>
          <w:szCs w:val="22"/>
        </w:rPr>
        <w:t xml:space="preserve"> verschilt — woordkeus, detailniveau, wat je eerst noemt. Het </w:t>
      </w:r>
      <w:r>
        <w:rPr>
          <w:rFonts w:ascii="Calibri" w:cs="Calibri" w:eastAsia="Calibri" w:hAnsi="Calibri"/>
          <w:b/>
          <w:bCs/>
          <w:i w:val="false"/>
          <w:iCs w:val="false"/>
          <w:sz w:val="22"/>
          <w:szCs w:val="22"/>
        </w:rPr>
        <w:t xml:space="preserve">verhaal</w:t>
      </w:r>
      <w:r>
        <w:rPr>
          <w:rFonts w:ascii="Calibri" w:cs="Calibri" w:eastAsia="Calibri" w:hAnsi="Calibri"/>
          <w:b w:val="false"/>
          <w:bCs w:val="false"/>
          <w:i w:val="false"/>
          <w:iCs w:val="false"/>
          <w:sz w:val="22"/>
          <w:szCs w:val="22"/>
        </w:rPr>
        <w:t xml:space="preserve"> verschilt niet. Wie tegen Ferdi zegt dat het meevalt en tegen Karel dat het tegenvalt, is niet flexibel maar onbetrouwbaar.</w:t>
      </w:r>
    </w:p>
    <w:p>
      <w:pPr>
        <w:spacing w:after="140" w:line="300"/>
      </w:pPr>
      <w:r>
        <w:rPr>
          <w:rFonts w:ascii="Calibri" w:cs="Calibri" w:eastAsia="Calibri" w:hAnsi="Calibri"/>
          <w:b w:val="false"/>
          <w:bCs w:val="false"/>
          <w:i w:val="false"/>
          <w:iCs w:val="false"/>
          <w:sz w:val="22"/>
          <w:szCs w:val="22"/>
        </w:rPr>
        <w:t xml:space="preserve">Criterium 6 is het criterium waarop dit vak zich onderscheidt van verkopen. Onvoldoende scoort wie stellig is zonder grond; goed scoort wie zegt: “dit weet ik niet, dit is hoe ik het uitzoek, en dit is de datum waarop ik het je laat weten.”</w:t>
      </w:r>
    </w:p>
    <w:p>
      <w:pPr>
        <w:spacing w:after="100"/>
      </w:pPr>
    </w:p>
    <w:p>
      <w:pPr>
        <w:pStyle w:val="Heading2"/>
        <w:spacing w:after="120" w:before="200"/>
      </w:pPr>
      <w:r>
        <w:rPr>
          <w:rFonts w:ascii="Georgia" w:cs="Georgia" w:eastAsia="Georgia" w:hAnsi="Georgia"/>
          <w:b/>
          <w:bCs/>
          <w:color w:val="2563A8"/>
          <w:sz w:val="28"/>
          <w:szCs w:val="28"/>
        </w:rPr>
        <w:t xml:space="preserve">10.7 Doorstroomcriteria naar niveau 2</w:t>
      </w:r>
    </w:p>
    <w:p>
      <w:pPr>
        <w:spacing w:after="140" w:line="300"/>
      </w:pPr>
      <w:r>
        <w:rPr>
          <w:rFonts w:ascii="Calibri" w:cs="Calibri" w:eastAsia="Calibri" w:hAnsi="Calibri"/>
          <w:b w:val="false"/>
          <w:bCs w:val="false"/>
          <w:i w:val="false"/>
          <w:iCs w:val="false"/>
          <w:sz w:val="22"/>
          <w:szCs w:val="22"/>
        </w:rPr>
        <w:t xml:space="preserve">Je bent klaar voor niveau 2 als je alle drie de volgende dingen kunt:</w:t>
      </w:r>
    </w:p>
    <w:p>
      <w:pPr>
        <w:pStyle w:val="ListParagraph"/>
        <w:numPr>
          <w:ilvl w:val="0"/>
          <w:numId w:val="1"/>
        </w:numPr>
        <w:spacing w:after="80"/>
      </w:pPr>
      <w:r>
        <w:rPr>
          <w:rFonts w:ascii="Calibri" w:cs="Calibri" w:eastAsia="Calibri" w:hAnsi="Calibri"/>
          <w:sz w:val="22"/>
          <w:szCs w:val="22"/>
        </w:rPr>
        <w:t xml:space="preserve">1. Een onbekende regeling typeren en toetsen zonder hulp, inclusief het benoemen van wat je nog niet weet.</w:t>
      </w:r>
    </w:p>
    <w:p>
      <w:pPr>
        <w:pStyle w:val="ListParagraph"/>
        <w:numPr>
          <w:ilvl w:val="0"/>
          <w:numId w:val="1"/>
        </w:numPr>
        <w:spacing w:after="80"/>
      </w:pPr>
      <w:r>
        <w:rPr>
          <w:rFonts w:ascii="Calibri" w:cs="Calibri" w:eastAsia="Calibri" w:hAnsi="Calibri"/>
          <w:sz w:val="22"/>
          <w:szCs w:val="22"/>
        </w:rPr>
        <w:t xml:space="preserve">2. Het verschil tussen de fondsenroute en de verzekerde route uitleggen aan iemand die alleen de andere wereld kent — inclusief invaren versus achterblijven, en wie er waar beslist.</w:t>
      </w:r>
    </w:p>
    <w:p>
      <w:pPr>
        <w:pStyle w:val="ListParagraph"/>
        <w:numPr>
          <w:ilvl w:val="0"/>
          <w:numId w:val="1"/>
        </w:numPr>
        <w:spacing w:after="80"/>
      </w:pPr>
      <w:r>
        <w:rPr>
          <w:rFonts w:ascii="Calibri" w:cs="Calibri" w:eastAsia="Calibri" w:hAnsi="Calibri"/>
          <w:sz w:val="22"/>
          <w:szCs w:val="22"/>
        </w:rPr>
        <w:t xml:space="preserve">3. Een slecht nieuws-gesprek voeren over een verandering die voor de betrokkene nadelig is, zonder te verhullen en zonder te dramatiseren.</w:t>
      </w:r>
    </w:p>
    <w:p>
      <w:pPr>
        <w:spacing w:after="140" w:line="300"/>
      </w:pPr>
      <w:r>
        <w:rPr>
          <w:rFonts w:ascii="Calibri" w:cs="Calibri" w:eastAsia="Calibri" w:hAnsi="Calibri"/>
          <w:b w:val="false"/>
          <w:bCs w:val="false"/>
          <w:i w:val="false"/>
          <w:iCs w:val="false"/>
          <w:sz w:val="22"/>
          <w:szCs w:val="22"/>
        </w:rPr>
        <w:t xml:space="preserve">Punt 3 wordt in opleidingen zelden getoetst en is in de praktijk het punt waarop adviseurs het vaakst hun geloofwaardigheid verliezen.</w:t>
      </w:r>
    </w:p>
    <w:p>
      <w:pPr>
        <w:spacing w:after="100"/>
      </w:pPr>
    </w:p>
    <w:p>
      <w:pPr>
        <w:pStyle w:val="Heading2"/>
        <w:spacing w:after="120" w:before="200"/>
      </w:pPr>
      <w:r>
        <w:rPr>
          <w:rFonts w:ascii="Georgia" w:cs="Georgia" w:eastAsia="Georgia" w:hAnsi="Georgia"/>
          <w:b/>
          <w:bCs/>
          <w:color w:val="2563A8"/>
          <w:sz w:val="28"/>
          <w:szCs w:val="28"/>
        </w:rPr>
        <w:t xml:space="preserve">10.8 Wat er in niveau 2 komt</w:t>
      </w:r>
    </w:p>
    <w:p>
      <w:pPr>
        <w:spacing w:after="140" w:line="300"/>
      </w:pPr>
      <w:r>
        <w:rPr>
          <w:rFonts w:ascii="Calibri" w:cs="Calibri" w:eastAsia="Calibri" w:hAnsi="Calibri"/>
          <w:b w:val="false"/>
          <w:bCs w:val="false"/>
          <w:i w:val="false"/>
          <w:iCs w:val="false"/>
          <w:sz w:val="22"/>
          <w:szCs w:val="22"/>
        </w:rPr>
        <w:t xml:space="preserve">Niveau 2 (deel 11 tot en met 21) gaat van fundament naar uitvoering en advies:</w:t>
      </w:r>
    </w:p>
    <w:p>
      <w:pPr>
        <w:pStyle w:val="ListParagraph"/>
        <w:numPr>
          <w:ilvl w:val="0"/>
          <w:numId w:val="1"/>
        </w:numPr>
        <w:spacing w:after="80"/>
      </w:pPr>
      <w:r>
        <w:rPr>
          <w:rFonts w:ascii="Calibri" w:cs="Calibri" w:eastAsia="Calibri" w:hAnsi="Calibri"/>
          <w:sz w:val="22"/>
          <w:szCs w:val="22"/>
        </w:rPr>
        <w:t xml:space="preserve">fiscaal kader en rekenwerk (11);</w:t>
      </w:r>
    </w:p>
    <w:p>
      <w:pPr>
        <w:pStyle w:val="ListParagraph"/>
        <w:numPr>
          <w:ilvl w:val="0"/>
          <w:numId w:val="1"/>
        </w:numPr>
        <w:spacing w:after="80"/>
      </w:pPr>
      <w:r>
        <w:rPr>
          <w:rFonts w:ascii="Calibri" w:cs="Calibri" w:eastAsia="Calibri" w:hAnsi="Calibri"/>
          <w:sz w:val="22"/>
          <w:szCs w:val="22"/>
        </w:rPr>
        <w:t xml:space="preserve">producten van verzekeraars en PPI’s, lifecycles en kosten (12);</w:t>
      </w:r>
    </w:p>
    <w:p>
      <w:pPr>
        <w:pStyle w:val="ListParagraph"/>
        <w:numPr>
          <w:ilvl w:val="0"/>
          <w:numId w:val="1"/>
        </w:numPr>
        <w:spacing w:after="80"/>
      </w:pPr>
      <w:r>
        <w:rPr>
          <w:rFonts w:ascii="Calibri" w:cs="Calibri" w:eastAsia="Calibri" w:hAnsi="Calibri"/>
          <w:sz w:val="22"/>
          <w:szCs w:val="22"/>
        </w:rPr>
        <w:t xml:space="preserve">de uitkeringsfase: vast, variabel en shoprecht (13);</w:t>
      </w:r>
    </w:p>
    <w:p>
      <w:pPr>
        <w:pStyle w:val="ListParagraph"/>
        <w:numPr>
          <w:ilvl w:val="0"/>
          <w:numId w:val="1"/>
        </w:numPr>
        <w:spacing w:after="80"/>
      </w:pPr>
      <w:r>
        <w:rPr>
          <w:rFonts w:ascii="Calibri" w:cs="Calibri" w:eastAsia="Calibri" w:hAnsi="Calibri"/>
          <w:sz w:val="22"/>
          <w:szCs w:val="22"/>
        </w:rPr>
        <w:t xml:space="preserve">offerte-, acceptatie- en contractproces (14);</w:t>
      </w:r>
    </w:p>
    <w:p>
      <w:pPr>
        <w:pStyle w:val="ListParagraph"/>
        <w:numPr>
          <w:ilvl w:val="0"/>
          <w:numId w:val="1"/>
        </w:numPr>
        <w:spacing w:after="80"/>
      </w:pPr>
      <w:r>
        <w:rPr>
          <w:rFonts w:ascii="Calibri" w:cs="Calibri" w:eastAsia="Calibri" w:hAnsi="Calibri"/>
          <w:sz w:val="22"/>
          <w:szCs w:val="22"/>
        </w:rPr>
        <w:t xml:space="preserve">transitie in verzekerde regelingen — twee dagdelen (15);</w:t>
      </w:r>
    </w:p>
    <w:p>
      <w:pPr>
        <w:pStyle w:val="ListParagraph"/>
        <w:numPr>
          <w:ilvl w:val="0"/>
          <w:numId w:val="1"/>
        </w:numPr>
        <w:spacing w:after="80"/>
      </w:pPr>
      <w:r>
        <w:rPr>
          <w:rFonts w:ascii="Calibri" w:cs="Calibri" w:eastAsia="Calibri" w:hAnsi="Calibri"/>
          <w:sz w:val="22"/>
          <w:szCs w:val="22"/>
        </w:rPr>
        <w:t xml:space="preserve">waardeoverdracht en collectieve omzetting, inclusief invaren bij fondsen (16);</w:t>
      </w:r>
    </w:p>
    <w:p>
      <w:pPr>
        <w:pStyle w:val="ListParagraph"/>
        <w:numPr>
          <w:ilvl w:val="0"/>
          <w:numId w:val="1"/>
        </w:numPr>
        <w:spacing w:after="80"/>
      </w:pPr>
      <w:r>
        <w:rPr>
          <w:rFonts w:ascii="Calibri" w:cs="Calibri" w:eastAsia="Calibri" w:hAnsi="Calibri"/>
          <w:sz w:val="22"/>
          <w:szCs w:val="22"/>
        </w:rPr>
        <w:t xml:space="preserve">pensioencommunicatie, transitieoverzichten en keuzebegeleiding (17);</w:t>
      </w:r>
    </w:p>
    <w:p>
      <w:pPr>
        <w:pStyle w:val="ListParagraph"/>
        <w:numPr>
          <w:ilvl w:val="0"/>
          <w:numId w:val="1"/>
        </w:numPr>
        <w:spacing w:after="80"/>
      </w:pPr>
      <w:r>
        <w:rPr>
          <w:rFonts w:ascii="Calibri" w:cs="Calibri" w:eastAsia="Calibri" w:hAnsi="Calibri"/>
          <w:sz w:val="22"/>
          <w:szCs w:val="22"/>
        </w:rPr>
        <w:t xml:space="preserve">zorgplicht, klantprofiel en vergunningen (18);</w:t>
      </w:r>
    </w:p>
    <w:p>
      <w:pPr>
        <w:pStyle w:val="ListParagraph"/>
        <w:numPr>
          <w:ilvl w:val="0"/>
          <w:numId w:val="1"/>
        </w:numPr>
        <w:spacing w:after="80"/>
      </w:pPr>
      <w:r>
        <w:rPr>
          <w:rFonts w:ascii="Calibri" w:cs="Calibri" w:eastAsia="Calibri" w:hAnsi="Calibri"/>
          <w:sz w:val="22"/>
          <w:szCs w:val="22"/>
        </w:rPr>
        <w:t xml:space="preserve">data, mutatieprocessen en ketenpartijen (19);</w:t>
      </w:r>
    </w:p>
    <w:p>
      <w:pPr>
        <w:pStyle w:val="ListParagraph"/>
        <w:numPr>
          <w:ilvl w:val="0"/>
          <w:numId w:val="1"/>
        </w:numPr>
        <w:spacing w:after="80"/>
      </w:pPr>
      <w:r>
        <w:rPr>
          <w:rFonts w:ascii="Calibri" w:cs="Calibri" w:eastAsia="Calibri" w:hAnsi="Calibri"/>
          <w:sz w:val="22"/>
          <w:szCs w:val="22"/>
        </w:rPr>
        <w:t xml:space="preserve">toezicht door DNB en AFM (20);</w:t>
      </w:r>
    </w:p>
    <w:p>
      <w:pPr>
        <w:pStyle w:val="ListParagraph"/>
        <w:numPr>
          <w:ilvl w:val="0"/>
          <w:numId w:val="1"/>
        </w:numPr>
        <w:spacing w:after="80"/>
      </w:pPr>
      <w:r>
        <w:rPr>
          <w:rFonts w:ascii="Calibri" w:cs="Calibri" w:eastAsia="Calibri" w:hAnsi="Calibri"/>
          <w:sz w:val="22"/>
          <w:szCs w:val="22"/>
        </w:rPr>
        <w:t xml:space="preserve">examentraining en een adviesrapport voor een werkgever (21).</w:t>
      </w:r>
    </w:p>
    <w:p>
      <w:pPr>
        <w:spacing w:after="140" w:line="300"/>
      </w:pPr>
      <w:r>
        <w:rPr>
          <w:rFonts w:ascii="Calibri" w:cs="Calibri" w:eastAsia="Calibri" w:hAnsi="Calibri"/>
          <w:b w:val="false"/>
          <w:bCs w:val="false"/>
          <w:i w:val="false"/>
          <w:iCs w:val="false"/>
          <w:sz w:val="22"/>
          <w:szCs w:val="22"/>
        </w:rPr>
        <w:t xml:space="preserve">De doorlopende casus gaat mee: Meridiaan, Bpf T&amp;I, Delta Chemie en Van Doorn, met Karel en Yasmin als vaste toetssteen.</w:t>
      </w:r>
    </w:p>
    <w:p>
      <w:pPr>
        <w:spacing w:after="100"/>
      </w:pPr>
    </w:p>
    <w:p>
      <w:pPr>
        <w:pStyle w:val="Heading2"/>
        <w:spacing w:after="120" w:before="200"/>
      </w:pPr>
      <w:r>
        <w:rPr>
          <w:rFonts w:ascii="Georgia" w:cs="Georgia" w:eastAsia="Georgia" w:hAnsi="Georgia"/>
          <w:b/>
          <w:bCs/>
          <w:color w:val="2563A8"/>
          <w:sz w:val="28"/>
          <w:szCs w:val="28"/>
        </w:rPr>
        <w:t xml:space="preserve">10.9 Slotopmerking</w:t>
      </w:r>
    </w:p>
    <w:p>
      <w:pPr>
        <w:spacing w:after="140" w:line="300"/>
      </w:pPr>
      <w:r>
        <w:rPr>
          <w:rFonts w:ascii="Calibri" w:cs="Calibri" w:eastAsia="Calibri" w:hAnsi="Calibri"/>
          <w:b w:val="false"/>
          <w:bCs w:val="false"/>
          <w:i w:val="false"/>
          <w:iCs w:val="false"/>
          <w:sz w:val="22"/>
          <w:szCs w:val="22"/>
        </w:rPr>
        <w:t xml:space="preserve">Aan het eind van deel 9 stond de vraag: wie overziet het volledige dossier van een individuele deelnemer? Het antwoord was: niemand automatisch.</w:t>
      </w:r>
    </w:p>
    <w:p>
      <w:pPr>
        <w:spacing w:after="140" w:line="300"/>
      </w:pPr>
      <w:r>
        <w:rPr>
          <w:rFonts w:ascii="Calibri" w:cs="Calibri" w:eastAsia="Calibri" w:hAnsi="Calibri"/>
          <w:b w:val="false"/>
          <w:bCs w:val="false"/>
          <w:i w:val="false"/>
          <w:iCs w:val="false"/>
          <w:sz w:val="22"/>
          <w:szCs w:val="22"/>
        </w:rPr>
        <w:t xml:space="preserve">Dat is geen tekortkoming van het stelsel maar de kern van het vak. Regelingen, wetten en systemen leveren fragmenten; iemand moet er een verdedigbaar geheel van maken en dat uitleggen aan mensen voor wie het over hun oude dag gaat. Dat is wat je in niveau 1 hebt leren voorbereiden en waar niveau 2 je in bekwaamt.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2026-08-17T11:22:44.432Z</dcterms:created>
  <dcterms:modified xsi:type="dcterms:W3CDTF">2026-08-17T11:22:44.432Z</dcterms:modified>
</cp:coreProperties>
</file>

<file path=docProps/custom.xml><?xml version="1.0" encoding="utf-8"?>
<Properties xmlns="http://schemas.openxmlformats.org/officeDocument/2006/custom-properties" xmlns:vt="http://schemas.openxmlformats.org/officeDocument/2006/docPropsVTypes"/>
</file>