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11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11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Niveau 2 opent met rekenwerk, bewust. Na tien dagdelen conceptueel werk in niveau 1 hebben deelnemers behoefte aan iets concreets, en de fiscale grenzen zijn de plek waar de scheidslijnkaart uit deel 5 handen en voeten krijgt: toets 3 was tot nu toe abstract (“blijft de premie binnen de fiscale grens”), vandaag wordt hij een rekensom.</w:t>
      </w:r>
    </w:p>
    <w:p>
      <w:pPr>
        <w:spacing w:after="140" w:line="300"/>
      </w:pPr>
      <w:r>
        <w:rPr>
          <w:rFonts w:ascii="Calibri" w:cs="Calibri" w:eastAsia="Calibri" w:hAnsi="Calibri"/>
          <w:b w:val="false"/>
          <w:bCs w:val="false"/>
          <w:i w:val="false"/>
          <w:iCs w:val="false"/>
          <w:sz w:val="22"/>
          <w:szCs w:val="22"/>
        </w:rPr>
        <w:t xml:space="preserve">Twee dingen moeten landen:</w:t>
      </w:r>
    </w:p>
    <w:p>
      <w:pPr>
        <w:pStyle w:val="ListParagraph"/>
        <w:numPr>
          <w:ilvl w:val="0"/>
          <w:numId w:val="1"/>
        </w:numPr>
        <w:spacing w:after="80"/>
      </w:pPr>
      <w:r>
        <w:rPr>
          <w:rFonts w:ascii="Calibri" w:cs="Calibri" w:eastAsia="Calibri" w:hAnsi="Calibri"/>
          <w:sz w:val="22"/>
          <w:szCs w:val="22"/>
        </w:rPr>
        <w:t xml:space="preserve">1. De systematiek is duurzaam, de bedragen niet. Elke deelnemer moet aan het eind weten waar hij de actuele cijfers vandaan haalt.</w:t>
      </w:r>
    </w:p>
    <w:p>
      <w:pPr>
        <w:pStyle w:val="ListParagraph"/>
        <w:numPr>
          <w:ilvl w:val="0"/>
          <w:numId w:val="1"/>
        </w:numPr>
        <w:spacing w:after="80"/>
      </w:pPr>
      <w:r>
        <w:rPr>
          <w:rFonts w:ascii="Calibri" w:cs="Calibri" w:eastAsia="Calibri" w:hAnsi="Calibri"/>
          <w:sz w:val="22"/>
          <w:szCs w:val="22"/>
        </w:rPr>
        <w:t xml:space="preserve">2. Reken altijd door naar euro’s. Dit is een directe voortzetting van de gewoonte uit deel 8 en deel 9 (Karel en Marleen) en wordt hier verder ingesleten.</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toets 3 uit de scheidslijnkaart, nu concreet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AOW-franchise als minimum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11.1 en 11.2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en 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30%-grens en wat er wel/niet in valt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opdracht 11.3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Percentages naar euro’s, opdracht 11.4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rekenen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Compensatieruimte gekoppeld aan deel 7, opdracht 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Aftoppingsgrens en nettopensioen, opdracht 11.6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Fouten herkennen,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Herinner aan de zin uit deel 5: “toets 3: blijft de premie binnen de fiscale grens — controleer, gok niet.” Vandaag leren ze hoe.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franchise.</w:t>
      </w:r>
      <w:r>
        <w:rPr>
          <w:rFonts w:ascii="Calibri" w:cs="Calibri" w:eastAsia="Calibri" w:hAnsi="Calibri"/>
          <w:b w:val="false"/>
          <w:bCs w:val="false"/>
          <w:i w:val="false"/>
          <w:iCs w:val="false"/>
          <w:sz w:val="22"/>
          <w:szCs w:val="22"/>
        </w:rPr>
        <w:t xml:space="preserve"> Het meest gemaakte fout is franchise behandelen als vast bedrag. Leg de staffeling uit met de vraag: waarom zou een regeling met een hoger premiepercentage ook een hogere minimale franchise moeten hebben? Laat de groep hier zelf op komen voordat je het uitlegt — het antwoord (fiscale ruimte in balans houden) is dan beklijvender.</w:t>
      </w:r>
    </w:p>
    <w:p>
      <w:pPr>
        <w:spacing w:after="140" w:line="300"/>
      </w:pPr>
      <w:r>
        <w:rPr>
          <w:rFonts w:ascii="Calibri" w:cs="Calibri" w:eastAsia="Calibri" w:hAnsi="Calibri"/>
          <w:b w:val="false"/>
          <w:bCs w:val="false"/>
          <w:i w:val="false"/>
          <w:iCs w:val="false"/>
          <w:sz w:val="22"/>
          <w:szCs w:val="22"/>
        </w:rPr>
        <w:t xml:space="preserve">Bij opdracht 11.2, casus c: dit is de belangrijkste subvraag van het dagdeel. Het verschil tussen beide methodieken is meer dan € 1.100 per jaar voor één medewerker — laat de groep dat bedrag zelf uitrekenen en er even bij stilstaan. Zeg expliciet: dit soort verschil zit in elk reglement verstopt en wordt zelden gecontroleerd.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30%-grens.</w:t>
      </w:r>
      <w:r>
        <w:rPr>
          <w:rFonts w:ascii="Calibri" w:cs="Calibri" w:eastAsia="Calibri" w:hAnsi="Calibri"/>
          <w:b w:val="false"/>
          <w:bCs w:val="false"/>
          <w:i w:val="false"/>
          <w:iCs w:val="false"/>
          <w:sz w:val="22"/>
          <w:szCs w:val="22"/>
        </w:rPr>
        <w:t xml:space="preserve"> Waarschuw vooraf: dit gaat de meest voorkomende rekenfout in de praktijk raken. Doe opdracht 11.3 klassikaal voor als iemand er zelf niet uitkomt. Het kernpunt: niet alles wat “premie” heet valt binnen dezelfde 30%-toets. Verwijs naar deel 8 — de risicopremies voor partnerpensioen en arbeidsongeschiktheid hebben daar hun eigen plek gekregen, en dat is precies waarom ze hier apart lopen.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Euro’s, niet percentages.</w:t>
      </w:r>
      <w:r>
        <w:rPr>
          <w:rFonts w:ascii="Calibri" w:cs="Calibri" w:eastAsia="Calibri" w:hAnsi="Calibri"/>
          <w:b w:val="false"/>
          <w:bCs w:val="false"/>
          <w:i w:val="false"/>
          <w:iCs w:val="false"/>
          <w:sz w:val="22"/>
          <w:szCs w:val="22"/>
        </w:rPr>
        <w:t xml:space="preserve"> Laat opdracht 11.4 individueel maken en controleer de uitkomst per persoon voordat je verder gaat — een rekenfout hier plant zich voort door de rest van het dagdeel. Bij onderdeel c: wees streng. Een antwoord met een percentage erin is fout, ook als de rekensom klopt. Dit is een vaardigheid die je al in deel 8 hebt geïntroduceerd (het gesprek met Karel) en die hier haar rekenkundige fundament krijgt.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Compensatieruimte (11.5).</w:t>
      </w:r>
      <w:r>
        <w:rPr>
          <w:rFonts w:ascii="Calibri" w:cs="Calibri" w:eastAsia="Calibri" w:hAnsi="Calibri"/>
          <w:b w:val="false"/>
          <w:bCs w:val="false"/>
          <w:i w:val="false"/>
          <w:iCs w:val="false"/>
          <w:sz w:val="22"/>
          <w:szCs w:val="22"/>
        </w:rPr>
        <w:t xml:space="preserve"> Dit is de plek waar deelnemers de koppeling met deel 7 expliciet moeten maken. Loop de rekensom hardop voor: 3% van de grondslag is een plafond voor de compensatie, geen garantie dat het hele verschil wordt gedicht. Herhaal de zin uit deel 7: “dit is geen compensatievoorstel, dit is een compensatiebedrag” — nu met een rekenkundige onderbouwing waarom een compensatievoorstel meer moet doen dan het plafond opzoeken.</w:t>
      </w:r>
    </w:p>
    <w:p>
      <w:pPr>
        <w:spacing w:after="140" w:line="300"/>
      </w:pPr>
      <w:r>
        <w:rPr>
          <w:rFonts w:ascii="Calibri" w:cs="Calibri" w:eastAsia="Calibri" w:hAnsi="Calibri"/>
          <w:b w:val="false"/>
          <w:bCs w:val="false"/>
          <w:i w:val="false"/>
          <w:iCs w:val="false"/>
          <w:sz w:val="22"/>
          <w:szCs w:val="22"/>
        </w:rPr>
        <w:t xml:space="preserve">Bij 11.5b: dit misverstand (15% + 18% in plaats van totaal 33%) komt in de praktijk voor, ook bij ervaren adviseurs. Behandel het niet als een domme vraag.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Aftoppingsgrens (11.6).</w:t>
      </w:r>
      <w:r>
        <w:rPr>
          <w:rFonts w:ascii="Calibri" w:cs="Calibri" w:eastAsia="Calibri" w:hAnsi="Calibri"/>
          <w:b w:val="false"/>
          <w:bCs w:val="false"/>
          <w:i w:val="false"/>
          <w:iCs w:val="false"/>
          <w:sz w:val="22"/>
          <w:szCs w:val="22"/>
        </w:rPr>
        <w:t xml:space="preserve"> Kort houden. De pointe is vooruitkijken: een advies dat vandaag klopt maar een voorzienbare ontwikkeling niet noemt, is onvolledig. Dit sluit aan bij criterium 7 uit de capstone van deel 10 (“wat je niet weet, en wanneer kom je erop terug”).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Afsluiting.</w:t>
      </w:r>
      <w:r>
        <w:rPr>
          <w:rFonts w:ascii="Calibri" w:cs="Calibri" w:eastAsia="Calibri" w:hAnsi="Calibri"/>
          <w:b w:val="false"/>
          <w:bCs w:val="false"/>
          <w:i w:val="false"/>
          <w:iCs w:val="false"/>
          <w:sz w:val="22"/>
          <w:szCs w:val="22"/>
        </w:rPr>
        <w:t xml:space="preserve"> Bij opdracht 11.7: laat de groep dit razendsnel doen, het is een herhaling ter bevestiging.</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is de franchise niet voor iedereen gelijk?”</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Omdat de wetgever de franchise koppelt aan het premiepercentage om de totale fiscale ruimte gelijkwaardig te houden tussen sobere en riante regelingen. Een lager percentage met een lagere franchise levert ongeveer dezelfde verhouding op als een hoger percentage met een hogere franchise.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rekenen we niet met de gehuwden-AOW als grondslag voor de franchise, zoals ik ooit heb geleerd?”</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was de systematiek voordat de Wtp-franchise werd geïntroduceerd; voor Wtp-regelingen en regelingen onder het overgangsrecht geldt nu een direct vastgesteld minimumbedrag. Oudere readers en vuistregels uit de opleiding van een aantal jaar geleden kunnen hier verouderd zijn — nog een reden om altijd de actuele bron te raadplegen.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“Geldt de 30%-grens ook bij de solidaire premieregeling van een fonds?”</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Ja, de fiscale premiegrens is uitvoerderneutraal; zij geldt voor elke vlakke premieregeling, ongeacht of die bij een fonds, verzekeraar of PPI wordt uitgevoerd.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een werkgever een hogere premie wil dan fiscaal is toegestaan?”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Dan kan het meerdere niet fiscaal gefaciliteerd worden ingelegd; er ontstaat een bovenmatige aanspraak met fiscale gevolgen voor de deelnemer. Dit is geen adviesoptie maar een fout die voorkomen moet worden.</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Rekenmachine of spreadsheet beschikbaar voor elke deelnemer</w:t>
      </w:r>
    </w:p>
    <w:p>
      <w:pPr>
        <w:pStyle w:val="ListParagraph"/>
        <w:numPr>
          <w:ilvl w:val="0"/>
          <w:numId w:val="1"/>
        </w:numPr>
        <w:spacing w:after="80"/>
      </w:pPr>
      <w:r>
        <w:rPr>
          <w:rFonts w:ascii="Calibri" w:cs="Calibri" w:eastAsia="Calibri" w:hAnsi="Calibri"/>
          <w:sz w:val="22"/>
          <w:szCs w:val="22"/>
        </w:rPr>
        <w:t xml:space="preserve">Actuele cijfers gecontroleerd vlak vóór de sessie: minimale franchise(s), 30%-grens, aftoppingsgrens, jaarruimteformule</w:t>
      </w:r>
    </w:p>
    <w:p>
      <w:pPr>
        <w:pStyle w:val="ListParagraph"/>
        <w:numPr>
          <w:ilvl w:val="0"/>
          <w:numId w:val="1"/>
        </w:numPr>
        <w:spacing w:after="80"/>
      </w:pPr>
      <w:r>
        <w:rPr>
          <w:rFonts w:ascii="Calibri" w:cs="Calibri" w:eastAsia="Calibri" w:hAnsi="Calibri"/>
          <w:sz w:val="22"/>
          <w:szCs w:val="22"/>
        </w:rPr>
        <w:t xml:space="preserve">De link naar het Centraal Aanspreekpunt Pensioenen van de Belastingdienst paraat, zodat je live kunt laten zien waar de cijfers vandaan komen</w:t>
      </w:r>
    </w:p>
    <w:p>
      <w:pPr>
        <w:pStyle w:val="ListParagraph"/>
        <w:numPr>
          <w:ilvl w:val="0"/>
          <w:numId w:val="1"/>
        </w:numPr>
        <w:spacing w:after="80"/>
      </w:pPr>
      <w:r>
        <w:rPr>
          <w:rFonts w:ascii="Calibri" w:cs="Calibri" w:eastAsia="Calibri" w:hAnsi="Calibri"/>
          <w:sz w:val="22"/>
          <w:szCs w:val="22"/>
        </w:rPr>
        <w:t xml:space="preserve">Rekenvoorbeeld Karel en Yasmin uitgeprint als controle-antwoord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11.8. Kondig deel 12 aan: nu je weet hoeveel premie er fiscaal in mag, ga je kijken wat daar in de praktijk mee gebeurt — de producten, de lifecycles en de kosten die het verschil maken tussen twee offertes die op papier hetzelfde premiepercentage tonen.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2026-08-17T11:22:44.661Z</dcterms:created>
  <dcterms:modified xsi:type="dcterms:W3CDTF">2026-08-17T11:22:44.661Z</dcterms:modified>
</cp:coreProperties>
</file>

<file path=docProps/custom.xml><?xml version="1.0" encoding="utf-8"?>
<Properties xmlns="http://schemas.openxmlformats.org/officeDocument/2006/custom-properties" xmlns:vt="http://schemas.openxmlformats.org/officeDocument/2006/docPropsVTypes"/>
</file>