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11 — Het fiscale kader</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11 — Het fiscale kader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11.1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AOW-franchise berekenen en uitleggen waarom zij een minimum is, geen vast bedrag;</w:t>
      </w:r>
    </w:p>
    <w:p>
      <w:pPr>
        <w:pStyle w:val="ListParagraph"/>
        <w:numPr>
          <w:ilvl w:val="0"/>
          <w:numId w:val="1"/>
        </w:numPr>
        <w:spacing w:after="80"/>
      </w:pPr>
      <w:r>
        <w:rPr>
          <w:rFonts w:ascii="Calibri" w:cs="Calibri" w:eastAsia="Calibri" w:hAnsi="Calibri"/>
          <w:sz w:val="22"/>
          <w:szCs w:val="22"/>
        </w:rPr>
        <w:t xml:space="preserve">2. de pensioengrondslag berekenen uit salaris, franchise en eventuele deeltijdfactor;</w:t>
      </w:r>
    </w:p>
    <w:p>
      <w:pPr>
        <w:pStyle w:val="ListParagraph"/>
        <w:numPr>
          <w:ilvl w:val="0"/>
          <w:numId w:val="1"/>
        </w:numPr>
        <w:spacing w:after="80"/>
      </w:pPr>
      <w:r>
        <w:rPr>
          <w:rFonts w:ascii="Calibri" w:cs="Calibri" w:eastAsia="Calibri" w:hAnsi="Calibri"/>
          <w:sz w:val="22"/>
          <w:szCs w:val="22"/>
        </w:rPr>
        <w:t xml:space="preserve">3. de fiscale premiegrens van 30% toepassen en de aftoppingsgrens plaatsen;</w:t>
      </w:r>
    </w:p>
    <w:p>
      <w:pPr>
        <w:pStyle w:val="ListParagraph"/>
        <w:numPr>
          <w:ilvl w:val="0"/>
          <w:numId w:val="1"/>
        </w:numPr>
        <w:spacing w:after="80"/>
      </w:pPr>
      <w:r>
        <w:rPr>
          <w:rFonts w:ascii="Calibri" w:cs="Calibri" w:eastAsia="Calibri" w:hAnsi="Calibri"/>
          <w:sz w:val="22"/>
          <w:szCs w:val="22"/>
        </w:rPr>
        <w:t xml:space="preserve">4. uitleggen wat een nettopensioen is en wanneer het aan de orde komt;</w:t>
      </w:r>
    </w:p>
    <w:p>
      <w:pPr>
        <w:pStyle w:val="ListParagraph"/>
        <w:numPr>
          <w:ilvl w:val="0"/>
          <w:numId w:val="1"/>
        </w:numPr>
        <w:spacing w:after="80"/>
      </w:pPr>
      <w:r>
        <w:rPr>
          <w:rFonts w:ascii="Calibri" w:cs="Calibri" w:eastAsia="Calibri" w:hAnsi="Calibri"/>
          <w:sz w:val="22"/>
          <w:szCs w:val="22"/>
        </w:rPr>
        <w:t xml:space="preserve">5. de samenhang zien tussen dit deel en de compensatieruimte uit deel 7;</w:t>
      </w:r>
    </w:p>
    <w:p>
      <w:pPr>
        <w:pStyle w:val="ListParagraph"/>
        <w:numPr>
          <w:ilvl w:val="0"/>
          <w:numId w:val="1"/>
        </w:numPr>
        <w:spacing w:after="80"/>
      </w:pPr>
      <w:r>
        <w:rPr>
          <w:rFonts w:ascii="Calibri" w:cs="Calibri" w:eastAsia="Calibri" w:hAnsi="Calibri"/>
          <w:sz w:val="22"/>
          <w:szCs w:val="22"/>
        </w:rPr>
        <w:t xml:space="preserve">6. een premieberekening voor een concrete medewerker foutloos uitvoeren en controleren.</w:t>
      </w:r>
    </w:p>
    <w:p>
      <w:pPr>
        <w:spacing w:after="100"/>
      </w:pPr>
    </w:p>
    <w:p>
      <w:pPr>
        <w:pStyle w:val="Heading2"/>
        <w:spacing w:after="120" w:before="200"/>
      </w:pPr>
      <w:r>
        <w:rPr>
          <w:rFonts w:ascii="Georgia" w:cs="Georgia" w:eastAsia="Georgia" w:hAnsi="Georgia"/>
          <w:b/>
          <w:bCs/>
          <w:color w:val="2563A8"/>
          <w:sz w:val="28"/>
          <w:szCs w:val="28"/>
        </w:rPr>
        <w:t xml:space="preserve">11.2 Waarom dit deel na niveau 1 komt</w:t>
      </w:r>
    </w:p>
    <w:p>
      <w:pPr>
        <w:spacing w:after="140" w:line="300"/>
      </w:pPr>
      <w:r>
        <w:rPr>
          <w:rFonts w:ascii="Calibri" w:cs="Calibri" w:eastAsia="Calibri" w:hAnsi="Calibri"/>
          <w:b w:val="false"/>
          <w:bCs w:val="false"/>
          <w:i w:val="false"/>
          <w:iCs w:val="false"/>
          <w:sz w:val="22"/>
          <w:szCs w:val="22"/>
        </w:rPr>
        <w:t xml:space="preserve">In niveau 1 gebruikte je steeds </w:t>
      </w:r>
      <w:r>
        <w:rPr>
          <w:rFonts w:ascii="Calibri" w:cs="Calibri" w:eastAsia="Calibri" w:hAnsi="Calibri"/>
          <w:b w:val="false"/>
          <w:bCs w:val="false"/>
          <w:i w:val="false"/>
          <w:iCs w:val="false"/>
          <w:sz w:val="22"/>
          <w:szCs w:val="22"/>
        </w:rPr>
        <w:t xml:space="preserve">[PREMIEGRENS-JAAR]</w:t>
      </w:r>
      <w:r>
        <w:rPr>
          <w:rFonts w:ascii="Calibri" w:cs="Calibri" w:eastAsia="Calibri" w:hAnsi="Calibri"/>
          <w:b w:val="false"/>
          <w:bCs w:val="false"/>
          <w:i w:val="false"/>
          <w:iCs w:val="false"/>
          <w:sz w:val="22"/>
          <w:szCs w:val="22"/>
        </w:rPr>
        <w:t xml:space="preserve"> en </w:t>
      </w:r>
      <w:r>
        <w:rPr>
          <w:rFonts w:ascii="Calibri" w:cs="Calibri" w:eastAsia="Calibri" w:hAnsi="Calibri"/>
          <w:b w:val="false"/>
          <w:bCs w:val="false"/>
          <w:i w:val="false"/>
          <w:iCs w:val="false"/>
          <w:sz w:val="22"/>
          <w:szCs w:val="22"/>
        </w:rPr>
        <w:t xml:space="preserve">[AFTOPPING-JAAR]</w:t>
      </w:r>
      <w:r>
        <w:rPr>
          <w:rFonts w:ascii="Calibri" w:cs="Calibri" w:eastAsia="Calibri" w:hAnsi="Calibri"/>
          <w:b w:val="false"/>
          <w:bCs w:val="false"/>
          <w:i w:val="false"/>
          <w:iCs w:val="false"/>
          <w:sz w:val="22"/>
          <w:szCs w:val="22"/>
        </w:rPr>
        <w:t xml:space="preserve"> als placeholder. Terecht: die cijfers wijzigen jaarlijks en horen niet uit het hoofd geleerd. Dit deel vult ze in met de cijfers van dit moment, leert je de systematiek erachter, en — belangrijker dan de cijfers zelf — leert je waar je ze elk jaar opnieuw vandaan haalt.</w:t>
      </w:r>
    </w:p>
    <w:p>
      <w:pPr>
        <w:spacing w:after="140" w:line="300"/>
      </w:pPr>
      <w:r>
        <w:rPr>
          <w:rFonts w:ascii="Calibri" w:cs="Calibri" w:eastAsia="Calibri" w:hAnsi="Calibri"/>
          <w:b w:val="false"/>
          <w:bCs w:val="false"/>
          <w:i w:val="false"/>
          <w:iCs w:val="false"/>
          <w:sz w:val="22"/>
          <w:szCs w:val="22"/>
        </w:rPr>
        <w:t xml:space="preserve">De cijfers in dit deel zijn de bedragen zoals vastgesteld voor 2026. Controleer bij elke nieuwe cursusronde en bij elk advies de actuele bedragen op de website van het Centraal Aanspreekpunt Pensioenen van de Belastingdienst. Een adviseur die met een verouderd bedrag rekent, is niet nauwkeurig geweest — dat is een tuchtrechtelijk relevant verschil.</w:t>
      </w:r>
    </w:p>
    <w:p>
      <w:pPr>
        <w:spacing w:after="100"/>
      </w:pPr>
    </w:p>
    <w:p>
      <w:pPr>
        <w:pStyle w:val="Heading2"/>
        <w:spacing w:after="120" w:before="200"/>
      </w:pPr>
      <w:r>
        <w:rPr>
          <w:rFonts w:ascii="Georgia" w:cs="Georgia" w:eastAsia="Georgia" w:hAnsi="Georgia"/>
          <w:b/>
          <w:bCs/>
          <w:color w:val="2563A8"/>
          <w:sz w:val="28"/>
          <w:szCs w:val="28"/>
        </w:rPr>
        <w:t xml:space="preserve">11.3 De AOW-franchise</w:t>
      </w:r>
    </w:p>
    <w:p>
      <w:pPr>
        <w:spacing w:after="140" w:line="300"/>
      </w:pPr>
      <w:r>
        <w:rPr>
          <w:rFonts w:ascii="Calibri" w:cs="Calibri" w:eastAsia="Calibri" w:hAnsi="Calibri"/>
          <w:b w:val="false"/>
          <w:bCs w:val="false"/>
          <w:i w:val="false"/>
          <w:iCs w:val="false"/>
          <w:sz w:val="22"/>
          <w:szCs w:val="22"/>
        </w:rPr>
        <w:t xml:space="preserve">De AOW-franchise is het deel van het salaris waarover geen pensioen wordt opgebouwd, omdat de AOW daar al in voorziet (deel 1). Fiscaal geldt een </w:t>
      </w:r>
      <w:r>
        <w:rPr>
          <w:rFonts w:ascii="Calibri" w:cs="Calibri" w:eastAsia="Calibri" w:hAnsi="Calibri"/>
          <w:b/>
          <w:bCs/>
          <w:i w:val="false"/>
          <w:iCs w:val="false"/>
          <w:sz w:val="22"/>
          <w:szCs w:val="22"/>
        </w:rPr>
        <w:t xml:space="preserve">minimale</w:t>
      </w:r>
      <w:r>
        <w:rPr>
          <w:rFonts w:ascii="Calibri" w:cs="Calibri" w:eastAsia="Calibri" w:hAnsi="Calibri"/>
          <w:b w:val="false"/>
          <w:bCs w:val="false"/>
          <w:i w:val="false"/>
          <w:iCs w:val="false"/>
          <w:sz w:val="22"/>
          <w:szCs w:val="22"/>
        </w:rPr>
        <w:t xml:space="preserve"> franchise: een regeling mag een hogere franchise hanteren — dan bouwt de deelnemer over een kleiner deel van zijn salaris pensioen op — maar niet lager, want dan zou er fiscaal bovenmatig worden opgebouwd.</w:t>
      </w:r>
    </w:p>
    <w:p>
      <w:pPr>
        <w:spacing w:after="140" w:line="300"/>
      </w:pPr>
      <w:r>
        <w:rPr>
          <w:rFonts w:ascii="Calibri" w:cs="Calibri" w:eastAsia="Calibri" w:hAnsi="Calibri"/>
          <w:b w:val="false"/>
          <w:bCs w:val="false"/>
          <w:i w:val="false"/>
          <w:iCs w:val="false"/>
          <w:sz w:val="22"/>
          <w:szCs w:val="22"/>
        </w:rPr>
        <w:t xml:space="preserve">Voor 2026 gelden, voor regelingen die aan de Wtp voldoen of onder het overgangsrecht vallen, de volgende minimale franchises:</w:t>
      </w:r>
    </w:p>
    <w:p>
      <w:pPr>
        <w:pStyle w:val="ListParagraph"/>
        <w:numPr>
          <w:ilvl w:val="0"/>
          <w:numId w:val="1"/>
        </w:numPr>
        <w:spacing w:after="80"/>
      </w:pPr>
      <w:r>
        <w:rPr>
          <w:rFonts w:ascii="Calibri" w:cs="Calibri" w:eastAsia="Calibri" w:hAnsi="Calibri"/>
          <w:sz w:val="22"/>
          <w:szCs w:val="22"/>
        </w:rPr>
        <w:t xml:space="preserve">Beschikbare-premieregeling of middelloonregeling met een vlakke premie tot 27,217%: minimaal &lt;cite index=“55-1”&gt;€ 15.308&lt;/cite&gt;</w:t>
      </w:r>
    </w:p>
    <w:p>
      <w:pPr>
        <w:pStyle w:val="ListParagraph"/>
        <w:numPr>
          <w:ilvl w:val="0"/>
          <w:numId w:val="1"/>
        </w:numPr>
        <w:spacing w:after="80"/>
      </w:pPr>
      <w:r>
        <w:rPr>
          <w:rFonts w:ascii="Calibri" w:cs="Calibri" w:eastAsia="Calibri" w:hAnsi="Calibri"/>
          <w:sz w:val="22"/>
          <w:szCs w:val="22"/>
        </w:rPr>
        <w:t xml:space="preserve">Bij een premiepercentage van 27,217% tot en met 28,608%: minimaal &lt;cite index=“55-1”&gt;€ 17.283&lt;/cite&gt;</w:t>
      </w:r>
    </w:p>
    <w:p>
      <w:pPr>
        <w:pStyle w:val="ListParagraph"/>
        <w:numPr>
          <w:ilvl w:val="0"/>
          <w:numId w:val="1"/>
        </w:numPr>
        <w:spacing w:after="80"/>
      </w:pPr>
      <w:r>
        <w:rPr>
          <w:rFonts w:ascii="Calibri" w:cs="Calibri" w:eastAsia="Calibri" w:hAnsi="Calibri"/>
          <w:sz w:val="22"/>
          <w:szCs w:val="22"/>
        </w:rPr>
        <w:t xml:space="preserve">Algemene minimale franchise voor Wtp-regelingen en middelloon-/beschikbarepremieregelingen onder het overgangsrecht: &lt;cite index=“56-1”&gt;€ 19.172&lt;/cite&gt;</w:t>
      </w:r>
    </w:p>
    <w:p>
      <w:pPr>
        <w:spacing w:after="140" w:line="300"/>
      </w:pPr>
      <w:r>
        <w:rPr>
          <w:rFonts w:ascii="Calibri" w:cs="Calibri" w:eastAsia="Calibri" w:hAnsi="Calibri"/>
          <w:b w:val="false"/>
          <w:bCs w:val="false"/>
          <w:i w:val="false"/>
          <w:iCs w:val="false"/>
          <w:sz w:val="22"/>
          <w:szCs w:val="22"/>
        </w:rPr>
        <w:t xml:space="preserve">Deze staffeling — een lagere franchise is toegestaan bij een lager premiepercentage — bestaat om te voorkomen dat een sobere regeling onnodig wordt beperkt door een franchise die is afgestemd op een riante regeling. Reken dus nooit blind met één getal; controleer welk premiepercentage de regeling kent en welke franchise daarbij hoort.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Rekenregel:</w:t>
      </w:r>
      <w:r>
        <w:rPr>
          <w:rFonts w:ascii="Calibri" w:cs="Calibri" w:eastAsia="Calibri" w:hAnsi="Calibri"/>
          <w:b w:val="false"/>
          <w:bCs w:val="false"/>
          <w:i w:val="false"/>
          <w:iCs w:val="false"/>
          <w:sz w:val="22"/>
          <w:szCs w:val="22"/>
        </w:rPr>
        <w:t xml:space="preserve"> pensioengrondslag = pensioengevend salaris − AOW-franchise, eventueel vermenigvuldigd met de deeltijdfactor als de franchise niet al deeltijdevenredig wordt toegepast — controleer dit per regeling, want beide methodieken komen voor.</w:t>
      </w:r>
    </w:p>
    <w:p>
      <w:pPr>
        <w:spacing w:after="100"/>
      </w:pPr>
    </w:p>
    <w:p>
      <w:pPr>
        <w:pStyle w:val="Heading2"/>
        <w:spacing w:after="120" w:before="200"/>
      </w:pPr>
      <w:r>
        <w:rPr>
          <w:rFonts w:ascii="Georgia" w:cs="Georgia" w:eastAsia="Georgia" w:hAnsi="Georgia"/>
          <w:b/>
          <w:bCs/>
          <w:color w:val="2563A8"/>
          <w:sz w:val="28"/>
          <w:szCs w:val="28"/>
        </w:rPr>
        <w:t xml:space="preserve">11.4 De premiegrens: 30%</w:t>
      </w:r>
    </w:p>
    <w:p>
      <w:pPr>
        <w:spacing w:after="140" w:line="300"/>
      </w:pPr>
      <w:r>
        <w:rPr>
          <w:rFonts w:ascii="Calibri" w:cs="Calibri" w:eastAsia="Calibri" w:hAnsi="Calibri"/>
          <w:b w:val="false"/>
          <w:bCs w:val="false"/>
          <w:i w:val="false"/>
          <w:iCs w:val="false"/>
          <w:sz w:val="22"/>
          <w:szCs w:val="22"/>
        </w:rPr>
        <w:t xml:space="preserve">De fiscale grens voor een vlakke premieregeling (leeftijdsonafhankelijk premiepercentage) is &lt;cite index=“55-1”&gt;maximaal 30% van de pensioengrondslag&lt;/cite&gt;. Dit percentage is het fiscale maximum voor het </w:t>
      </w:r>
      <w:r>
        <w:rPr>
          <w:rFonts w:ascii="Calibri" w:cs="Calibri" w:eastAsia="Calibri" w:hAnsi="Calibri"/>
          <w:b/>
          <w:bCs/>
          <w:i w:val="false"/>
          <w:iCs w:val="false"/>
          <w:sz w:val="22"/>
          <w:szCs w:val="22"/>
        </w:rPr>
        <w:t xml:space="preserve">totale</w:t>
      </w:r>
      <w:r>
        <w:rPr>
          <w:rFonts w:ascii="Calibri" w:cs="Calibri" w:eastAsia="Calibri" w:hAnsi="Calibri"/>
          <w:b w:val="false"/>
          <w:bCs w:val="false"/>
          <w:i w:val="false"/>
          <w:iCs w:val="false"/>
          <w:sz w:val="22"/>
          <w:szCs w:val="22"/>
        </w:rPr>
        <w:t xml:space="preserve"> premiepercentage — ouderdomspensioen én het deel van het partnerpensioen na de pensioendatum dat uit dezelfde premie wordt gefinancierd. Risicopremies voor het partnerpensioen vóór de pensioendatum en voor arbeidsongeschiktheidsdekkingen tellen in de regel niet mee binnen deze grens, maar volgen eigen fiscale kaders. Toets dit per regeling: de opbouw van de totale premie moet transparant zijn, anders is toets 3 uit de scheidslijnkaart (deel 5) niet te doen.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Voorbeeld — Van Doorn Techniek, nieuwe regeling per 1 januari 2027.</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Voorgestelde premie: 15% van de pensioengrondslag. Dat past ruim binnen de 30%-grens; er is dus fiscale ruimte over. Die ruimte is relevant voor twee dingen:</w:t>
      </w:r>
    </w:p>
    <w:p>
      <w:pPr>
        <w:pStyle w:val="ListParagraph"/>
        <w:numPr>
          <w:ilvl w:val="0"/>
          <w:numId w:val="1"/>
        </w:numPr>
        <w:spacing w:after="80"/>
      </w:pPr>
      <w:r>
        <w:rPr>
          <w:rFonts w:ascii="Calibri" w:cs="Calibri" w:eastAsia="Calibri" w:hAnsi="Calibri"/>
          <w:sz w:val="22"/>
          <w:szCs w:val="22"/>
        </w:rPr>
        <w:t xml:space="preserve">1. De werkgever kán meer bieden dan 15% zonder de grens te raken — een keuze, geen verplichting.</w:t>
      </w:r>
    </w:p>
    <w:p>
      <w:pPr>
        <w:pStyle w:val="ListParagraph"/>
        <w:numPr>
          <w:ilvl w:val="0"/>
          <w:numId w:val="1"/>
        </w:numPr>
        <w:spacing w:after="80"/>
      </w:pPr>
      <w:r>
        <w:rPr>
          <w:rFonts w:ascii="Calibri" w:cs="Calibri" w:eastAsia="Calibri" w:hAnsi="Calibri"/>
          <w:sz w:val="22"/>
          <w:szCs w:val="22"/>
        </w:rPr>
        <w:t xml:space="preserve">2. De compensatieruimte uit deel 7 (+3 procentpunt gedurende de compensatieperiode) telt bovenop de 30%, dus samen maximaal 33% tijdens die periode.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Reken het na voor Karel.</w:t>
      </w:r>
      <w:r>
        <w:rPr>
          <w:rFonts w:ascii="Calibri" w:cs="Calibri" w:eastAsia="Calibri" w:hAnsi="Calibri"/>
          <w:b w:val="false"/>
          <w:bCs w:val="false"/>
          <w:i w:val="false"/>
          <w:iCs w:val="false"/>
          <w:sz w:val="22"/>
          <w:szCs w:val="22"/>
        </w:rPr>
        <w:t xml:space="preserve"> Salaris € 48.000, franchise € 19.172 (aangenomen dat de regeling in de hoogste franchisecategorie valt): pensioengrondslag = € 48.000 − € 19.172 = </w:t>
      </w:r>
      <w:r>
        <w:rPr>
          <w:rFonts w:ascii="Calibri" w:cs="Calibri" w:eastAsia="Calibri" w:hAnsi="Calibri"/>
          <w:b/>
          <w:bCs/>
          <w:i w:val="false"/>
          <w:iCs w:val="false"/>
          <w:sz w:val="22"/>
          <w:szCs w:val="22"/>
        </w:rPr>
        <w:t xml:space="preserve">€ 28.828</w:t>
      </w:r>
      <w:r>
        <w:rPr>
          <w:rFonts w:ascii="Calibri" w:cs="Calibri" w:eastAsia="Calibri" w:hAnsi="Calibri"/>
          <w:b w:val="false"/>
          <w:bCs w:val="false"/>
          <w:i w:val="false"/>
          <w:iCs w:val="false"/>
          <w:sz w:val="22"/>
          <w:szCs w:val="22"/>
        </w:rPr>
        <w:t xml:space="preserve">. Bij 15% premie: € 4.324 per jaar. Onder de oude staffel, klasse 24%: € 6.919 per jaar. Verschil: </w:t>
      </w:r>
      <w:r>
        <w:rPr>
          <w:rFonts w:ascii="Calibri" w:cs="Calibri" w:eastAsia="Calibri" w:hAnsi="Calibri"/>
          <w:b/>
          <w:bCs/>
          <w:i w:val="false"/>
          <w:iCs w:val="false"/>
          <w:sz w:val="22"/>
          <w:szCs w:val="22"/>
        </w:rPr>
        <w:t xml:space="preserve">€ 2.595 per jaar</w:t>
      </w:r>
      <w:r>
        <w:rPr>
          <w:rFonts w:ascii="Calibri" w:cs="Calibri" w:eastAsia="Calibri" w:hAnsi="Calibri"/>
          <w:b w:val="false"/>
          <w:bCs w:val="false"/>
          <w:i w:val="false"/>
          <w:iCs w:val="false"/>
          <w:sz w:val="22"/>
          <w:szCs w:val="22"/>
        </w:rPr>
        <w:t xml:space="preserve"> — het bedrag waarover het compensatiegesprek in deel 7 daadwerkelijk gaat.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Reken het na voor Yasmin.</w:t>
      </w:r>
      <w:r>
        <w:rPr>
          <w:rFonts w:ascii="Calibri" w:cs="Calibri" w:eastAsia="Calibri" w:hAnsi="Calibri"/>
          <w:b w:val="false"/>
          <w:bCs w:val="false"/>
          <w:i w:val="false"/>
          <w:iCs w:val="false"/>
          <w:sz w:val="22"/>
          <w:szCs w:val="22"/>
        </w:rPr>
        <w:t xml:space="preserve"> Salaris € 42.000, franchise € 19.172: pensioengrondslag = </w:t>
      </w:r>
      <w:r>
        <w:rPr>
          <w:rFonts w:ascii="Calibri" w:cs="Calibri" w:eastAsia="Calibri" w:hAnsi="Calibri"/>
          <w:b/>
          <w:bCs/>
          <w:i w:val="false"/>
          <w:iCs w:val="false"/>
          <w:sz w:val="22"/>
          <w:szCs w:val="22"/>
        </w:rPr>
        <w:t xml:space="preserve">€ 22.828</w:t>
      </w:r>
      <w:r>
        <w:rPr>
          <w:rFonts w:ascii="Calibri" w:cs="Calibri" w:eastAsia="Calibri" w:hAnsi="Calibri"/>
          <w:b w:val="false"/>
          <w:bCs w:val="false"/>
          <w:i w:val="false"/>
          <w:iCs w:val="false"/>
          <w:sz w:val="22"/>
          <w:szCs w:val="22"/>
        </w:rPr>
        <w:t xml:space="preserve">. Oude staffel klasse 9,7%: € 2.214. Nieuwe premie 15%: € 3.424. Verschil: </w:t>
      </w:r>
      <w:r>
        <w:rPr>
          <w:rFonts w:ascii="Calibri" w:cs="Calibri" w:eastAsia="Calibri" w:hAnsi="Calibri"/>
          <w:b/>
          <w:bCs/>
          <w:i w:val="false"/>
          <w:iCs w:val="false"/>
          <w:sz w:val="22"/>
          <w:szCs w:val="22"/>
        </w:rPr>
        <w:t xml:space="preserve">+ € 1.210 per jaar.</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Dit soort berekening — niet het percentage maar het bedrag in euro’s — is wat je in elk transitiegesprek klaar moet hebben liggen. Percentages overtuigen niemand; bedragen wel.</w:t>
      </w:r>
    </w:p>
    <w:p>
      <w:pPr>
        <w:spacing w:after="100"/>
      </w:pPr>
    </w:p>
    <w:p>
      <w:pPr>
        <w:pStyle w:val="Heading2"/>
        <w:spacing w:after="120" w:before="200"/>
      </w:pPr>
      <w:r>
        <w:rPr>
          <w:rFonts w:ascii="Georgia" w:cs="Georgia" w:eastAsia="Georgia" w:hAnsi="Georgia"/>
          <w:b/>
          <w:bCs/>
          <w:color w:val="2563A8"/>
          <w:sz w:val="28"/>
          <w:szCs w:val="28"/>
        </w:rPr>
        <w:t xml:space="preserve">11.5 De aftoppingsgrens en het nettopensioen</w:t>
      </w:r>
    </w:p>
    <w:p>
      <w:pPr>
        <w:spacing w:after="140" w:line="300"/>
      </w:pPr>
      <w:r>
        <w:rPr>
          <w:rFonts w:ascii="Calibri" w:cs="Calibri" w:eastAsia="Calibri" w:hAnsi="Calibri"/>
          <w:b w:val="false"/>
          <w:bCs w:val="false"/>
          <w:i w:val="false"/>
          <w:iCs w:val="false"/>
          <w:sz w:val="22"/>
          <w:szCs w:val="22"/>
        </w:rPr>
        <w:t xml:space="preserve">Boven een bepaald salaris mag helemaal geen fiscaal gefaciliteerd pensioen meer worden opgebouwd. Voor 2026 is die grens, ongewijzigd ten opzichte van 2025 en 2024: &lt;cite index=“55-1”&gt;€ 137.800&lt;/cite&gt;.</w:t>
      </w:r>
    </w:p>
    <w:p>
      <w:pPr>
        <w:spacing w:after="140" w:line="300"/>
      </w:pPr>
      <w:r>
        <w:rPr>
          <w:rFonts w:ascii="Calibri" w:cs="Calibri" w:eastAsia="Calibri" w:hAnsi="Calibri"/>
          <w:b w:val="false"/>
          <w:bCs w:val="false"/>
          <w:i w:val="false"/>
          <w:iCs w:val="false"/>
          <w:sz w:val="22"/>
          <w:szCs w:val="22"/>
        </w:rPr>
        <w:t xml:space="preserve">Voor het salarisdeel boven deze grens bestaat een aparte, vrijwillige route: het </w:t>
      </w:r>
      <w:r>
        <w:rPr>
          <w:rFonts w:ascii="Calibri" w:cs="Calibri" w:eastAsia="Calibri" w:hAnsi="Calibri"/>
          <w:b/>
          <w:bCs/>
          <w:i w:val="false"/>
          <w:iCs w:val="false"/>
          <w:sz w:val="22"/>
          <w:szCs w:val="22"/>
        </w:rPr>
        <w:t xml:space="preserve">nettopensioen</w:t>
      </w:r>
      <w:r>
        <w:rPr>
          <w:rFonts w:ascii="Calibri" w:cs="Calibri" w:eastAsia="Calibri" w:hAnsi="Calibri"/>
          <w:b w:val="false"/>
          <w:bCs w:val="false"/>
          <w:i w:val="false"/>
          <w:iCs w:val="false"/>
          <w:sz w:val="22"/>
          <w:szCs w:val="22"/>
        </w:rPr>
        <w:t xml:space="preserve"> (of de nettolijfrente). Kenmerken:</w:t>
      </w:r>
    </w:p>
    <w:p>
      <w:pPr>
        <w:pStyle w:val="ListParagraph"/>
        <w:numPr>
          <w:ilvl w:val="0"/>
          <w:numId w:val="1"/>
        </w:numPr>
        <w:spacing w:after="80"/>
      </w:pPr>
      <w:r>
        <w:rPr>
          <w:rFonts w:ascii="Calibri" w:cs="Calibri" w:eastAsia="Calibri" w:hAnsi="Calibri"/>
          <w:sz w:val="22"/>
          <w:szCs w:val="22"/>
        </w:rPr>
        <w:t xml:space="preserve">premie wordt betaald uit netto loon — geen fiscale aftrek bij inleg;</w:t>
      </w:r>
    </w:p>
    <w:p>
      <w:pPr>
        <w:pStyle w:val="ListParagraph"/>
        <w:numPr>
          <w:ilvl w:val="0"/>
          <w:numId w:val="1"/>
        </w:numPr>
        <w:spacing w:after="80"/>
      </w:pPr>
      <w:r>
        <w:rPr>
          <w:rFonts w:ascii="Calibri" w:cs="Calibri" w:eastAsia="Calibri" w:hAnsi="Calibri"/>
          <w:sz w:val="22"/>
          <w:szCs w:val="22"/>
        </w:rPr>
        <w:t xml:space="preserve">daar staat tegenover dat de uitkering onbelast is en dat het opgebouwde vermogen is vrijgesteld in box 3;</w:t>
      </w:r>
    </w:p>
    <w:p>
      <w:pPr>
        <w:pStyle w:val="ListParagraph"/>
        <w:numPr>
          <w:ilvl w:val="0"/>
          <w:numId w:val="1"/>
        </w:numPr>
        <w:spacing w:after="80"/>
      </w:pPr>
      <w:r>
        <w:rPr>
          <w:rFonts w:ascii="Calibri" w:cs="Calibri" w:eastAsia="Calibri" w:hAnsi="Calibri"/>
          <w:sz w:val="22"/>
          <w:szCs w:val="22"/>
        </w:rPr>
        <w:t xml:space="preserve">de regeling is voor de werkgever vrijwillig aan te bieden en voor de werknemer vrijwillig om aan deel te nemen.</w:t>
      </w:r>
    </w:p>
    <w:p>
      <w:pPr>
        <w:spacing w:after="140" w:line="300"/>
      </w:pPr>
      <w:r>
        <w:rPr>
          <w:rFonts w:ascii="Calibri" w:cs="Calibri" w:eastAsia="Calibri" w:hAnsi="Calibri"/>
          <w:b w:val="false"/>
          <w:bCs w:val="false"/>
          <w:i w:val="false"/>
          <w:iCs w:val="false"/>
          <w:sz w:val="22"/>
          <w:szCs w:val="22"/>
        </w:rPr>
        <w:t xml:space="preserve">Voor Van Doorn Techniek is dit vooralsnog niet aan de orde: het hoogste salaris in het bestand (Ferdi zelf uitgezonderd, als dga behandeld in deel 26) blijft ruim onder de aftoppingsgrens. Vermeld dit in een advies toch kort — het voorkomt dat een groeiend bedrijf er over een paar jaar tegenaan loopt zonder dat iemand het heeft zien aankomen.</w:t>
      </w:r>
    </w:p>
    <w:p>
      <w:pPr>
        <w:spacing w:after="100"/>
      </w:pPr>
    </w:p>
    <w:p>
      <w:pPr>
        <w:pStyle w:val="Heading2"/>
        <w:spacing w:after="120" w:before="200"/>
      </w:pPr>
      <w:r>
        <w:rPr>
          <w:rFonts w:ascii="Georgia" w:cs="Georgia" w:eastAsia="Georgia" w:hAnsi="Georgia"/>
          <w:b/>
          <w:bCs/>
          <w:color w:val="2563A8"/>
          <w:sz w:val="28"/>
          <w:szCs w:val="28"/>
        </w:rPr>
        <w:t xml:space="preserve">11.6 De relatie met de derde pijler</w:t>
      </w:r>
    </w:p>
    <w:p>
      <w:pPr>
        <w:spacing w:after="140" w:line="300"/>
      </w:pPr>
      <w:r>
        <w:rPr>
          <w:rFonts w:ascii="Calibri" w:cs="Calibri" w:eastAsia="Calibri" w:hAnsi="Calibri"/>
          <w:b w:val="false"/>
          <w:bCs w:val="false"/>
          <w:i w:val="false"/>
          <w:iCs w:val="false"/>
          <w:sz w:val="22"/>
          <w:szCs w:val="22"/>
        </w:rPr>
        <w:t xml:space="preserve">Ter oriëntatie, uitgewerkt in deel 26: wie geen of onvoldoende tweedepijleropbouw heeft, kan </w:t>
      </w:r>
      <w:r>
        <w:rPr>
          <w:rFonts w:ascii="Calibri" w:cs="Calibri" w:eastAsia="Calibri" w:hAnsi="Calibri"/>
          <w:b/>
          <w:bCs/>
          <w:i w:val="false"/>
          <w:iCs w:val="false"/>
          <w:sz w:val="22"/>
          <w:szCs w:val="22"/>
        </w:rPr>
        <w:t xml:space="preserve">jaarruimte</w:t>
      </w:r>
      <w:r>
        <w:rPr>
          <w:rFonts w:ascii="Calibri" w:cs="Calibri" w:eastAsia="Calibri" w:hAnsi="Calibri"/>
          <w:b w:val="false"/>
          <w:bCs w:val="false"/>
          <w:i w:val="false"/>
          <w:iCs w:val="false"/>
          <w:sz w:val="22"/>
          <w:szCs w:val="22"/>
        </w:rPr>
        <w:t xml:space="preserve"> benutten voor lijfrente in de derde pijler. De formule voor 2026: &lt;cite index=“58-1”&gt;30% x (gemaximeerd inkomen − € 19.172), gecorrigeerd voor reeds opgebouwd pensioen via de werkgever (de zogeheten Factor A)&lt;/cite&gt;, met een maximum van &lt;cite index=“58-1”&gt;€ 35.589&lt;/cite&gt; voor 2026.</w:t>
      </w:r>
    </w:p>
    <w:p>
      <w:pPr>
        <w:spacing w:after="140" w:line="300"/>
      </w:pPr>
      <w:r>
        <w:rPr>
          <w:rFonts w:ascii="Calibri" w:cs="Calibri" w:eastAsia="Calibri" w:hAnsi="Calibri"/>
          <w:b w:val="false"/>
          <w:bCs w:val="false"/>
          <w:i w:val="false"/>
          <w:iCs w:val="false"/>
          <w:sz w:val="22"/>
          <w:szCs w:val="22"/>
        </w:rPr>
        <w:t xml:space="preserve">Het is geen toeval dat 30% hier terugkeert: de derde-pijlergrens is bewust afgestemd op de tweedepijlergrens, zodat er geen fiscaal voordeel zit in het kiezen van de ene route boven de andere. Voor werknemers van Van Doorn is dit vooral relevant voor wie een tweede inkomstenbron heeft, of voor wie een deel van de loopbaan zonder werkgeverspensioen heeft gewerkt.</w:t>
      </w:r>
    </w:p>
    <w:p>
      <w:pPr>
        <w:spacing w:after="100"/>
      </w:pPr>
    </w:p>
    <w:p>
      <w:pPr>
        <w:pStyle w:val="Heading2"/>
        <w:spacing w:after="120" w:before="200"/>
      </w:pPr>
      <w:r>
        <w:rPr>
          <w:rFonts w:ascii="Georgia" w:cs="Georgia" w:eastAsia="Georgia" w:hAnsi="Georgia"/>
          <w:b/>
          <w:bCs/>
          <w:color w:val="2563A8"/>
          <w:sz w:val="28"/>
          <w:szCs w:val="28"/>
        </w:rPr>
        <w:t xml:space="preserve">11.7 Veelgemaakte fouten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Fout 1 — de franchise verwarren met een vast bedrag.</w:t>
      </w:r>
      <w:r>
        <w:rPr>
          <w:rFonts w:ascii="Calibri" w:cs="Calibri" w:eastAsia="Calibri" w:hAnsi="Calibri"/>
          <w:b w:val="false"/>
          <w:bCs w:val="false"/>
          <w:i w:val="false"/>
          <w:iCs w:val="false"/>
          <w:sz w:val="22"/>
          <w:szCs w:val="22"/>
        </w:rPr>
        <w:t xml:space="preserve"> Er is een minimum, geen vast getal; een regeling mag een hogere franchise hanteren.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Fout 2 — 30% toepassen op het salaris in plaats van op de grondslag.</w:t>
      </w:r>
      <w:r>
        <w:rPr>
          <w:rFonts w:ascii="Calibri" w:cs="Calibri" w:eastAsia="Calibri" w:hAnsi="Calibri"/>
          <w:b w:val="false"/>
          <w:bCs w:val="false"/>
          <w:i w:val="false"/>
          <w:iCs w:val="false"/>
          <w:sz w:val="22"/>
          <w:szCs w:val="22"/>
        </w:rPr>
        <w:t xml:space="preserve"> Een veelvoorkomende rekenfout die de premie stelselmatig te hoog laat uitkomen.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Fout 3 — risicopremies meetellen in de 30%-toets.</w:t>
      </w:r>
      <w:r>
        <w:rPr>
          <w:rFonts w:ascii="Calibri" w:cs="Calibri" w:eastAsia="Calibri" w:hAnsi="Calibri"/>
          <w:b w:val="false"/>
          <w:bCs w:val="false"/>
          <w:i w:val="false"/>
          <w:iCs w:val="false"/>
          <w:sz w:val="22"/>
          <w:szCs w:val="22"/>
        </w:rPr>
        <w:t xml:space="preserve"> Niet elke premiecomponent valt onder dezelfde grens; controleer per component.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Fout 4 — een percentage uit het hoofd gebruiken dat een jaar oud is.</w:t>
      </w:r>
      <w:r>
        <w:rPr>
          <w:rFonts w:ascii="Calibri" w:cs="Calibri" w:eastAsia="Calibri" w:hAnsi="Calibri"/>
          <w:b w:val="false"/>
          <w:bCs w:val="false"/>
          <w:i w:val="false"/>
          <w:iCs w:val="false"/>
          <w:sz w:val="22"/>
          <w:szCs w:val="22"/>
        </w:rPr>
        <w:t xml:space="preserve"> De grens van 30% is al enkele jaren ongewijzigd, maar de franchise en de aftoppingsgrens bewegen wél jaarlijks mee met de systematiek. Ga bij elk advies na of het bedrag nog actueel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Fout 5 — vergeten dat de compensatieruimte een tijdelijke verhoging is, geen permanente.</w:t>
      </w:r>
      <w:r>
        <w:rPr>
          <w:rFonts w:ascii="Calibri" w:cs="Calibri" w:eastAsia="Calibri" w:hAnsi="Calibri"/>
          <w:b w:val="false"/>
          <w:bCs w:val="false"/>
          <w:i w:val="false"/>
          <w:iCs w:val="false"/>
          <w:sz w:val="22"/>
          <w:szCs w:val="22"/>
        </w:rPr>
        <w:t xml:space="preserve"> Na afloop van de compensatieperiode (uiterlijk 1 januari 2037, deel 7) geldt weer de gewone grens van 30%.</w:t>
      </w:r>
    </w:p>
    <w:p>
      <w:pPr>
        <w:spacing w:after="100"/>
      </w:pPr>
    </w:p>
    <w:p>
      <w:pPr>
        <w:pStyle w:val="Heading2"/>
        <w:spacing w:after="120" w:before="200"/>
      </w:pPr>
      <w:r>
        <w:rPr>
          <w:rFonts w:ascii="Georgia" w:cs="Georgia" w:eastAsia="Georgia" w:hAnsi="Georgia"/>
          <w:b/>
          <w:bCs/>
          <w:color w:val="2563A8"/>
          <w:sz w:val="28"/>
          <w:szCs w:val="28"/>
        </w:rPr>
        <w:t xml:space="preserve">11.8 Rekenopzet die je in elk advies gebruikt</w:t>
      </w:r>
    </w:p>
    <w:p>
      <w:pPr>
        <w:pStyle w:val="ListParagraph"/>
        <w:numPr>
          <w:ilvl w:val="0"/>
          <w:numId w:val="1"/>
        </w:numPr>
        <w:spacing w:after="80"/>
      </w:pPr>
      <w:r>
        <w:rPr>
          <w:rFonts w:ascii="Calibri" w:cs="Calibri" w:eastAsia="Calibri" w:hAnsi="Calibri"/>
          <w:sz w:val="22"/>
          <w:szCs w:val="22"/>
        </w:rPr>
        <w:t xml:space="preserve">1. Bepaal het pensioengevend salaris, gemaximeerd op de aftoppingsgrens.</w:t>
      </w:r>
    </w:p>
    <w:p>
      <w:pPr>
        <w:pStyle w:val="ListParagraph"/>
        <w:numPr>
          <w:ilvl w:val="0"/>
          <w:numId w:val="1"/>
        </w:numPr>
        <w:spacing w:after="80"/>
      </w:pPr>
      <w:r>
        <w:rPr>
          <w:rFonts w:ascii="Calibri" w:cs="Calibri" w:eastAsia="Calibri" w:hAnsi="Calibri"/>
          <w:sz w:val="22"/>
          <w:szCs w:val="22"/>
        </w:rPr>
        <w:t xml:space="preserve">2. Bepaal de toepasselijke minimale franchise bij het gekozen premiepercentage.</w:t>
      </w:r>
    </w:p>
    <w:p>
      <w:pPr>
        <w:pStyle w:val="ListParagraph"/>
        <w:numPr>
          <w:ilvl w:val="0"/>
          <w:numId w:val="1"/>
        </w:numPr>
        <w:spacing w:after="80"/>
      </w:pPr>
      <w:r>
        <w:rPr>
          <w:rFonts w:ascii="Calibri" w:cs="Calibri" w:eastAsia="Calibri" w:hAnsi="Calibri"/>
          <w:sz w:val="22"/>
          <w:szCs w:val="22"/>
        </w:rPr>
        <w:t xml:space="preserve">3. Bereken de pensioengrondslag: salaris − franchise.</w:t>
      </w:r>
    </w:p>
    <w:p>
      <w:pPr>
        <w:pStyle w:val="ListParagraph"/>
        <w:numPr>
          <w:ilvl w:val="0"/>
          <w:numId w:val="1"/>
        </w:numPr>
        <w:spacing w:after="80"/>
      </w:pPr>
      <w:r>
        <w:rPr>
          <w:rFonts w:ascii="Calibri" w:cs="Calibri" w:eastAsia="Calibri" w:hAnsi="Calibri"/>
          <w:sz w:val="22"/>
          <w:szCs w:val="22"/>
        </w:rPr>
        <w:t xml:space="preserve">4. Bereken de premie: percentage × grondslag.</w:t>
      </w:r>
    </w:p>
    <w:p>
      <w:pPr>
        <w:pStyle w:val="ListParagraph"/>
        <w:numPr>
          <w:ilvl w:val="0"/>
          <w:numId w:val="1"/>
        </w:numPr>
        <w:spacing w:after="80"/>
      </w:pPr>
      <w:r>
        <w:rPr>
          <w:rFonts w:ascii="Calibri" w:cs="Calibri" w:eastAsia="Calibri" w:hAnsi="Calibri"/>
          <w:sz w:val="22"/>
          <w:szCs w:val="22"/>
        </w:rPr>
        <w:t xml:space="preserve">5. Vergelijk met de fiscale maximumpremie (30%, tijdelijk +3% bij compensatie).</w:t>
      </w:r>
    </w:p>
    <w:p>
      <w:pPr>
        <w:pStyle w:val="ListParagraph"/>
        <w:numPr>
          <w:ilvl w:val="0"/>
          <w:numId w:val="1"/>
        </w:numPr>
        <w:spacing w:after="80"/>
      </w:pPr>
      <w:r>
        <w:rPr>
          <w:rFonts w:ascii="Calibri" w:cs="Calibri" w:eastAsia="Calibri" w:hAnsi="Calibri"/>
          <w:sz w:val="22"/>
          <w:szCs w:val="22"/>
        </w:rPr>
        <w:t xml:space="preserve">6. Zet de uitkomst om in euro’s per jaar en per maand — nooit alleen in percentages presenteren aan een werkgever of deelnemer.</w:t>
      </w:r>
    </w:p>
    <w:p>
      <w:pPr>
        <w:spacing w:after="100"/>
      </w:pPr>
    </w:p>
    <w:p>
      <w:pPr>
        <w:pStyle w:val="Heading2"/>
        <w:spacing w:after="120" w:before="200"/>
      </w:pPr>
      <w:r>
        <w:rPr>
          <w:rFonts w:ascii="Georgia" w:cs="Georgia" w:eastAsia="Georgia" w:hAnsi="Georgia"/>
          <w:b/>
          <w:bCs/>
          <w:color w:val="2563A8"/>
          <w:sz w:val="28"/>
          <w:szCs w:val="28"/>
        </w:rPr>
        <w:t xml:space="preserve">11.9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AOW-franchise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Minimaal salarisdeel waarover geen pensioen wordt opgebouwd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Pensioengrondslag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Salaris minus franchise, de basis voor de premieberekening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Fiscale premiegrens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Maximaal 30% van de grondslag bij een vlakke premie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Aftoppingsgrens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Salarisgrens waarboven geen fiscaal gefaciliteerde opbouw meer plaatsvindt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Nettopensioen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Vrijwillige opbouw uit netto loon over het salaris boven de aftoppingsgrens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Jaarruimte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Fiscale ruimte voor lijfrente in de derde pijler</w:t>
            </w:r>
          </w:p>
        </w:tc>
      </w:tr>
    </w:tbl>
    <w:p>
      <w:pPr>
        <w:spacing w:after="100"/>
      </w:pPr>
    </w:p>
    <w:p>
      <w:pPr>
        <w:pStyle w:val="Heading2"/>
        <w:spacing w:after="120" w:before="200"/>
      </w:pPr>
      <w:r>
        <w:rPr>
          <w:rFonts w:ascii="Georgia" w:cs="Georgia" w:eastAsia="Georgia" w:hAnsi="Georgia"/>
          <w:b/>
          <w:bCs/>
          <w:color w:val="2563A8"/>
          <w:sz w:val="28"/>
          <w:szCs w:val="28"/>
        </w:rPr>
        <w:t xml:space="preserve">11.10 Samenvatting</w:t>
      </w:r>
    </w:p>
    <w:p>
      <w:pPr>
        <w:pStyle w:val="ListParagraph"/>
        <w:numPr>
          <w:ilvl w:val="0"/>
          <w:numId w:val="1"/>
        </w:numPr>
        <w:spacing w:after="80"/>
      </w:pPr>
      <w:r>
        <w:rPr>
          <w:rFonts w:ascii="Calibri" w:cs="Calibri" w:eastAsia="Calibri" w:hAnsi="Calibri"/>
          <w:sz w:val="22"/>
          <w:szCs w:val="22"/>
        </w:rPr>
        <w:t xml:space="preserve">De AOW-franchise is een minimum, gekoppeld aan het premiepercentage; voor 2026 minimaal € 19.172 bij de gangbare Wtp-premies.</w:t>
      </w:r>
    </w:p>
    <w:p>
      <w:pPr>
        <w:pStyle w:val="ListParagraph"/>
        <w:numPr>
          <w:ilvl w:val="0"/>
          <w:numId w:val="1"/>
        </w:numPr>
        <w:spacing w:after="80"/>
      </w:pPr>
      <w:r>
        <w:rPr>
          <w:rFonts w:ascii="Calibri" w:cs="Calibri" w:eastAsia="Calibri" w:hAnsi="Calibri"/>
          <w:sz w:val="22"/>
          <w:szCs w:val="22"/>
        </w:rPr>
        <w:t xml:space="preserve">De fiscale premiegrens is 30% van de pensioengrondslag, tijdelijk verhoogd met 3 procentpunt tijdens de compensatieperiode.</w:t>
      </w:r>
    </w:p>
    <w:p>
      <w:pPr>
        <w:pStyle w:val="ListParagraph"/>
        <w:numPr>
          <w:ilvl w:val="0"/>
          <w:numId w:val="1"/>
        </w:numPr>
        <w:spacing w:after="80"/>
      </w:pPr>
      <w:r>
        <w:rPr>
          <w:rFonts w:ascii="Calibri" w:cs="Calibri" w:eastAsia="Calibri" w:hAnsi="Calibri"/>
          <w:sz w:val="22"/>
          <w:szCs w:val="22"/>
        </w:rPr>
        <w:t xml:space="preserve">De aftoppingsgrens ligt voor 2026 op € 137.800; daarboven is alleen nettopensioen of nettolijfrente mogelijk.</w:t>
      </w:r>
    </w:p>
    <w:p>
      <w:pPr>
        <w:pStyle w:val="ListParagraph"/>
        <w:numPr>
          <w:ilvl w:val="0"/>
          <w:numId w:val="1"/>
        </w:numPr>
        <w:spacing w:after="80"/>
      </w:pPr>
      <w:r>
        <w:rPr>
          <w:rFonts w:ascii="Calibri" w:cs="Calibri" w:eastAsia="Calibri" w:hAnsi="Calibri"/>
          <w:sz w:val="22"/>
          <w:szCs w:val="22"/>
        </w:rPr>
        <w:t xml:space="preserve">Reken altijd door naar euro’s — dat is wat een compensatiegesprek concreet maakt.</w:t>
      </w:r>
    </w:p>
    <w:p>
      <w:pPr>
        <w:pStyle w:val="ListParagraph"/>
        <w:numPr>
          <w:ilvl w:val="0"/>
          <w:numId w:val="1"/>
        </w:numPr>
        <w:spacing w:after="80"/>
      </w:pPr>
      <w:r>
        <w:rPr>
          <w:rFonts w:ascii="Calibri" w:cs="Calibri" w:eastAsia="Calibri" w:hAnsi="Calibri"/>
          <w:sz w:val="22"/>
          <w:szCs w:val="22"/>
        </w:rPr>
        <w:t xml:space="preserve">Controleer de bedragen bij elk advies opnieuw; alleen de systematiek is duurzaam.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12.</w:t>
      </w:r>
      <w:r>
        <w:rPr>
          <w:rFonts w:ascii="Calibri" w:cs="Calibri" w:eastAsia="Calibri" w:hAnsi="Calibri"/>
          <w:b w:val="false"/>
          <w:bCs w:val="false"/>
          <w:i w:val="false"/>
          <w:iCs w:val="false"/>
          <w:sz w:val="22"/>
          <w:szCs w:val="22"/>
        </w:rPr>
        <w:t xml:space="preserve"> Nu je weet hóéveel premie er fiscaal in mag, kijken we naar wat daarmee gebeurt: de producten van verzekeraars en PPI’s, de lifecycles waarin wordt belegd, en de kosten en garanties die het verschil maken tussen twee offertes die op papier hetzelfde premiepercentage tonen.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2026-08-17T11:22:44.579Z</dcterms:created>
  <dcterms:modified xsi:type="dcterms:W3CDTF">2026-08-17T11:22:44.579Z</dcterms:modified>
</cp:coreProperties>
</file>

<file path=docProps/custom.xml><?xml version="1.0" encoding="utf-8"?>
<Properties xmlns="http://schemas.openxmlformats.org/officeDocument/2006/custom-properties" xmlns:vt="http://schemas.openxmlformats.org/officeDocument/2006/docPropsVTypes"/>
</file>