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11 — Werkboek</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11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11.1 — De franchise toepassen</w:t>
      </w:r>
    </w:p>
    <w:p>
      <w:pPr>
        <w:spacing w:after="140" w:line="300"/>
      </w:pPr>
      <w:r>
        <w:rPr>
          <w:rFonts w:ascii="Calibri" w:cs="Calibri" w:eastAsia="Calibri" w:hAnsi="Calibri"/>
          <w:b w:val="false"/>
          <w:bCs w:val="false"/>
          <w:i w:val="false"/>
          <w:iCs w:val="false"/>
          <w:sz w:val="22"/>
          <w:szCs w:val="22"/>
        </w:rPr>
        <w:t xml:space="preserve">Een regeling kent een vlakke premie van 26%. Welke minimale franchise geldt, en waarom niet de hoogste?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Bij 26% valt de regeling in de categorie “minder dan 27,217%”, dus geldt de minimale franchise van € 15.308. De hogere franchise (€ 17.283) geldt pas vanaf 27,217%. De staffeling bestaat om een lager premiepercentage niet onnodig te beperken met een franchise die is afgestemd op een zwaardere regeling — hoe hoger het premiepercentage, hoe hoger de minimaal vereiste franchise, zodat de totale fiscale ruimte in balans blijft.</w:t>
            </w:r>
          </w:p>
        </w:tc>
      </w:tr>
    </w:tbl>
    <w:p>
      <w:pPr>
        <w:spacing w:after="100"/>
      </w:pPr>
    </w:p>
    <w:p>
      <w:pPr>
        <w:pStyle w:val="Heading2"/>
        <w:spacing w:after="120" w:before="200"/>
      </w:pPr>
      <w:r>
        <w:rPr>
          <w:rFonts w:ascii="Georgia" w:cs="Georgia" w:eastAsia="Georgia" w:hAnsi="Georgia"/>
          <w:b/>
          <w:bCs/>
          <w:color w:val="2563A8"/>
          <w:sz w:val="28"/>
          <w:szCs w:val="28"/>
        </w:rPr>
        <w:t xml:space="preserve">Opdracht 11.2 — Reken de pensioengrondslag</w:t>
      </w:r>
    </w:p>
    <w:p>
      <w:pPr>
        <w:spacing w:after="140" w:line="300"/>
      </w:pPr>
      <w:r>
        <w:rPr>
          <w:rFonts w:ascii="Calibri" w:cs="Calibri" w:eastAsia="Calibri" w:hAnsi="Calibri"/>
          <w:b w:val="false"/>
          <w:bCs w:val="false"/>
          <w:i w:val="false"/>
          <w:iCs w:val="false"/>
          <w:sz w:val="22"/>
          <w:szCs w:val="22"/>
        </w:rPr>
        <w:t xml:space="preserve">Bereken de pensioengrondslag voor de volgende medewerkers van Van Doorn Techniek, bij de nieuwe regeling met 15% vlakke premie en de franchise van € 19.172.</w:t>
      </w:r>
    </w:p>
    <w:p>
      <w:pPr>
        <w:spacing w:after="140" w:line="300"/>
      </w:pPr>
      <w:r>
        <w:rPr>
          <w:rFonts w:ascii="Calibri" w:cs="Calibri" w:eastAsia="Calibri" w:hAnsi="Calibri"/>
          <w:b w:val="false"/>
          <w:bCs w:val="false"/>
          <w:i w:val="false"/>
          <w:iCs w:val="false"/>
          <w:sz w:val="22"/>
          <w:szCs w:val="22"/>
        </w:rPr>
        <w:t xml:space="preserve">a. Anouk Verhagen, salaris € 52.000, voltijds.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monteur met salaris € 38.500, voltijds.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administratief medewerker, salaris € 45.000, deeltijdfactor 0,6 (drie dagen).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€ 52.000 − € 19.172 = </w:t>
      </w:r>
      <w:r>
        <w:rPr>
          <w:rFonts w:ascii="Calibri" w:cs="Calibri" w:eastAsia="Calibri" w:hAnsi="Calibri"/>
          <w:b/>
          <w:bCs/>
          <w:i w:val="false"/>
          <w:iCs w:val="false"/>
          <w:sz w:val="22"/>
          <w:szCs w:val="22"/>
        </w:rPr>
        <w:t xml:space="preserve">€ 32.828</w:t>
      </w:r>
      <w:r>
        <w:rPr>
          <w:rFonts w:ascii="Calibri" w:cs="Calibri" w:eastAsia="Calibri" w:hAnsi="Calibri"/>
          <w:b w:val="false"/>
          <w:bCs w:val="false"/>
          <w:i w:val="false"/>
          <w:iCs w:val="false"/>
          <w:sz w:val="22"/>
          <w:szCs w:val="22"/>
        </w:rPr>
        <w:t xml:space="preserve">. Premie: 15% = € 4.924,20.</w:t>
      </w:r>
    </w:p>
    <w:p>
      <w:pPr>
        <w:spacing w:after="140" w:line="300"/>
      </w:pPr>
      <w:r>
        <w:rPr>
          <w:rFonts w:ascii="Calibri" w:cs="Calibri" w:eastAsia="Calibri" w:hAnsi="Calibri"/>
          <w:b w:val="false"/>
          <w:bCs w:val="false"/>
          <w:i w:val="false"/>
          <w:iCs w:val="false"/>
          <w:sz w:val="22"/>
          <w:szCs w:val="22"/>
        </w:rPr>
        <w:t xml:space="preserve">b. € 38.500 − € 19.172 = </w:t>
      </w:r>
      <w:r>
        <w:rPr>
          <w:rFonts w:ascii="Calibri" w:cs="Calibri" w:eastAsia="Calibri" w:hAnsi="Calibri"/>
          <w:b/>
          <w:bCs/>
          <w:i w:val="false"/>
          <w:iCs w:val="false"/>
          <w:sz w:val="22"/>
          <w:szCs w:val="22"/>
        </w:rPr>
        <w:t xml:space="preserve">€ 19.328</w:t>
      </w:r>
      <w:r>
        <w:rPr>
          <w:rFonts w:ascii="Calibri" w:cs="Calibri" w:eastAsia="Calibri" w:hAnsi="Calibri"/>
          <w:b w:val="false"/>
          <w:bCs w:val="false"/>
          <w:i w:val="false"/>
          <w:iCs w:val="false"/>
          <w:sz w:val="22"/>
          <w:szCs w:val="22"/>
        </w:rPr>
        <w:t xml:space="preserve">. Premie: € 2.899,20.</w:t>
      </w:r>
    </w:p>
    <w:p>
      <w:pPr>
        <w:spacing w:after="140" w:line="300"/>
      </w:pPr>
      <w:r>
        <w:rPr>
          <w:rFonts w:ascii="Calibri" w:cs="Calibri" w:eastAsia="Calibri" w:hAnsi="Calibri"/>
          <w:b w:val="false"/>
          <w:bCs w:val="false"/>
          <w:i w:val="false"/>
          <w:iCs w:val="false"/>
          <w:sz w:val="22"/>
          <w:szCs w:val="22"/>
        </w:rPr>
        <w:t xml:space="preserve">c. Afhankelijk van de methodiek. Als het voltijdsalaris al is omgerekend naar het deeltijdsalaris van € 45.000: grondslag = € 45.000 − € 19.172 = € 25.828, premie € 3.874,20. Als de franchise zelf ook deeltijdevenredig wordt toegepast (0,6 × € 19.172 = € 11.503): grondslag = € 45.000 − € 11.503 = € 33.497, premie € 5.024,55 — een aanzienlijk verschil.</w:t>
      </w:r>
    </w:p>
    <w:p>
      <w:pPr>
        <w:spacing w:after="140" w:line="300"/>
      </w:pPr>
      <w:r>
        <w:rPr>
          <w:rFonts w:ascii="Calibri" w:cs="Calibri" w:eastAsia="Calibri" w:hAnsi="Calibri"/>
          <w:b w:val="false"/>
          <w:bCs w:val="false"/>
          <w:i w:val="false"/>
          <w:iCs w:val="false"/>
          <w:sz w:val="22"/>
          <w:szCs w:val="22"/>
        </w:rPr>
        <w:t xml:space="preserve">Casus c is het leerpunt: controleer altijd welke methodiek het reglement voorschrijft. Het verschil tussen beide uitkomsten is meer dan € 1.100 premie per jaar voor deze ene medewerker.</w:t>
      </w:r>
    </w:p>
    <w:p>
      <w:pPr>
        <w:spacing w:after="100"/>
      </w:pPr>
    </w:p>
    <w:p>
      <w:pPr>
        <w:pStyle w:val="Heading2"/>
        <w:spacing w:after="120" w:before="200"/>
      </w:pPr>
      <w:r>
        <w:rPr>
          <w:rFonts w:ascii="Georgia" w:cs="Georgia" w:eastAsia="Georgia" w:hAnsi="Georgia"/>
          <w:b/>
          <w:bCs/>
          <w:color w:val="2563A8"/>
          <w:sz w:val="28"/>
          <w:szCs w:val="28"/>
        </w:rPr>
        <w:t xml:space="preserve">Opdracht 11.3 — De 30%-toets</w:t>
      </w:r>
    </w:p>
    <w:p>
      <w:pPr>
        <w:spacing w:after="140" w:line="300"/>
      </w:pPr>
      <w:r>
        <w:rPr>
          <w:rFonts w:ascii="Calibri" w:cs="Calibri" w:eastAsia="Calibri" w:hAnsi="Calibri"/>
          <w:b w:val="false"/>
          <w:bCs w:val="false"/>
          <w:i w:val="false"/>
          <w:iCs w:val="false"/>
          <w:sz w:val="22"/>
          <w:szCs w:val="22"/>
        </w:rPr>
        <w:t xml:space="preserve">Een adviseur stelt een regeling voor met 22% ouderdomspensioenpremie, plus 2% risicopremie voor het partnerpensioen vóór de pensioendatum, plus 1,5% voor arbeidsongeschiktheidsdekkingen.</w:t>
      </w:r>
    </w:p>
    <w:p>
      <w:pPr>
        <w:spacing w:after="140" w:line="300"/>
      </w:pPr>
      <w:r>
        <w:rPr>
          <w:rFonts w:ascii="Calibri" w:cs="Calibri" w:eastAsia="Calibri" w:hAnsi="Calibri"/>
          <w:b w:val="false"/>
          <w:bCs w:val="false"/>
          <w:i w:val="false"/>
          <w:iCs w:val="false"/>
          <w:sz w:val="22"/>
          <w:szCs w:val="22"/>
        </w:rPr>
        <w:t xml:space="preserve">a. Telt dit alles mee binnen de 30%-grens?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is je advies als de werkgever zegt: “Dan zitten we dus op 25,5%, ruim onder de grens”?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Nee — niet automatisch. De 30%-grens ziet op het ouderdomspensioen (en het daaruit gefinancierde partnerpensioen na pensioendatum). Risicopremies voor partnerpensioen vóór pensioendatum en voor arbeidsongeschiktheid volgen in de regel een eigen fiscaal kader en tellen niet zonder meer mee.</w:t>
      </w:r>
    </w:p>
    <w:p>
      <w:pPr>
        <w:spacing w:after="140" w:line="300"/>
      </w:pPr>
      <w:r>
        <w:rPr>
          <w:rFonts w:ascii="Calibri" w:cs="Calibri" w:eastAsia="Calibri" w:hAnsi="Calibri"/>
          <w:b w:val="false"/>
          <w:bCs w:val="false"/>
          <w:i w:val="false"/>
          <w:iCs w:val="false"/>
          <w:sz w:val="22"/>
          <w:szCs w:val="22"/>
        </w:rPr>
        <w:t xml:space="preserve">b. Corrigeer de aanname: 22% is de relevante toets voor de 30%-grens, niet 25,5%. Zijn optelsom is feitelijk onjuist en zou bij een verkeerde lezing tot een te hoge suggestie van “ruimte over” leiden. Dit is precies fout 3 uit paragraaf 11.7 en het soort fout dat pas bij een fiscale controle boven water komt.</w:t>
      </w:r>
    </w:p>
    <w:p>
      <w:pPr>
        <w:spacing w:after="100"/>
      </w:pPr>
    </w:p>
    <w:p>
      <w:pPr>
        <w:pStyle w:val="Heading2"/>
        <w:spacing w:after="120" w:before="200"/>
      </w:pPr>
      <w:r>
        <w:rPr>
          <w:rFonts w:ascii="Georgia" w:cs="Georgia" w:eastAsia="Georgia" w:hAnsi="Georgia"/>
          <w:b/>
          <w:bCs/>
          <w:color w:val="2563A8"/>
          <w:sz w:val="28"/>
          <w:szCs w:val="28"/>
        </w:rPr>
        <w:t xml:space="preserve">Opdracht 11.4 — Percentages naar euro’s</w:t>
      </w:r>
    </w:p>
    <w:p>
      <w:pPr>
        <w:spacing w:after="140" w:line="300"/>
      </w:pPr>
      <w:r>
        <w:rPr>
          <w:rFonts w:ascii="Calibri" w:cs="Calibri" w:eastAsia="Calibri" w:hAnsi="Calibri"/>
          <w:b w:val="false"/>
          <w:bCs w:val="false"/>
          <w:i w:val="false"/>
          <w:iCs w:val="false"/>
          <w:sz w:val="22"/>
          <w:szCs w:val="22"/>
        </w:rPr>
        <w:t xml:space="preserve">Herhaal de berekening uit paragraaf 11.4 voor een 50-jarige medewerker met salaris € 55.000, die in de oude staffel op 19,8% zat.</w:t>
      </w:r>
    </w:p>
    <w:p>
      <w:pPr>
        <w:spacing w:after="140" w:line="300"/>
      </w:pPr>
      <w:r>
        <w:rPr>
          <w:rFonts w:ascii="Calibri" w:cs="Calibri" w:eastAsia="Calibri" w:hAnsi="Calibri"/>
          <w:b w:val="false"/>
          <w:bCs w:val="false"/>
          <w:i w:val="false"/>
          <w:iCs w:val="false"/>
          <w:sz w:val="22"/>
          <w:szCs w:val="22"/>
        </w:rPr>
        <w:t xml:space="preserve">a. Bereken de oude en de nieuwe jaarpremie in euro’s.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is het verschil per maand?</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Formuleer één zin waarmee je dit bedrag aan deze medewerker zou voorleggen.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Grondslag: € 55.000 − € 19.172 = € 35.828. Oud: 19,8% = € 7.093,94. Nieuw: 15% = € 5.374,20. Verschil: € 1.719,74 per jaar.</w:t>
      </w:r>
    </w:p>
    <w:p>
      <w:pPr>
        <w:spacing w:after="140" w:line="300"/>
      </w:pPr>
      <w:r>
        <w:rPr>
          <w:rFonts w:ascii="Calibri" w:cs="Calibri" w:eastAsia="Calibri" w:hAnsi="Calibri"/>
          <w:b w:val="false"/>
          <w:bCs w:val="false"/>
          <w:i w:val="false"/>
          <w:iCs w:val="false"/>
          <w:sz w:val="22"/>
          <w:szCs w:val="22"/>
        </w:rPr>
        <w:t xml:space="preserve">b. Ongeveer € 143 per maand minder inleg.</w:t>
      </w:r>
    </w:p>
    <w:p>
      <w:pPr>
        <w:spacing w:after="140" w:line="300"/>
      </w:pPr>
      <w:r>
        <w:rPr>
          <w:rFonts w:ascii="Calibri" w:cs="Calibri" w:eastAsia="Calibri" w:hAnsi="Calibri"/>
          <w:b w:val="false"/>
          <w:bCs w:val="false"/>
          <w:i w:val="false"/>
          <w:iCs w:val="false"/>
          <w:sz w:val="22"/>
          <w:szCs w:val="22"/>
        </w:rPr>
        <w:t xml:space="preserve">c. Bijvoorbeeld: “Je pensioeninleg gaat met ongeveer € 143 per maand omlaag — dat is het bedrag waarover we het bij de compensatie hebben, niet een percentage.”</w:t>
      </w:r>
    </w:p>
    <w:p>
      <w:pPr>
        <w:spacing w:after="140" w:line="300"/>
      </w:pPr>
      <w:r>
        <w:rPr>
          <w:rFonts w:ascii="Calibri" w:cs="Calibri" w:eastAsia="Calibri" w:hAnsi="Calibri"/>
          <w:b w:val="false"/>
          <w:bCs w:val="false"/>
          <w:i w:val="false"/>
          <w:iCs w:val="false"/>
          <w:sz w:val="22"/>
          <w:szCs w:val="22"/>
        </w:rPr>
        <w:t xml:space="preserve">Beoordelingslijn: het antwoord bij c moet een concreet maandbedrag bevatten, geen percentage. Dit oefent exact de vaardigheid uit deel 8, nu toegepast op premie in plaats van op nabestaandendekking.</w:t>
      </w:r>
    </w:p>
    <w:p>
      <w:pPr>
        <w:spacing w:after="100"/>
      </w:pPr>
    </w:p>
    <w:p>
      <w:pPr>
        <w:pStyle w:val="Heading2"/>
        <w:spacing w:after="120" w:before="200"/>
      </w:pPr>
      <w:r>
        <w:rPr>
          <w:rFonts w:ascii="Georgia" w:cs="Georgia" w:eastAsia="Georgia" w:hAnsi="Georgia"/>
          <w:b/>
          <w:bCs/>
          <w:color w:val="2563A8"/>
          <w:sz w:val="28"/>
          <w:szCs w:val="28"/>
        </w:rPr>
        <w:t xml:space="preserve">Opdracht 11.5 — De compensatieruimte gekoppeld aan deel 7</w:t>
      </w:r>
    </w:p>
    <w:p>
      <w:pPr>
        <w:spacing w:after="140" w:line="300"/>
      </w:pPr>
      <w:r>
        <w:rPr>
          <w:rFonts w:ascii="Calibri" w:cs="Calibri" w:eastAsia="Calibri" w:hAnsi="Calibri"/>
          <w:b w:val="false"/>
          <w:bCs w:val="false"/>
          <w:i w:val="false"/>
          <w:iCs w:val="false"/>
          <w:sz w:val="22"/>
          <w:szCs w:val="22"/>
        </w:rPr>
        <w:t xml:space="preserve">Tijdens de compensatieperiode geldt een tijdelijke grens van 33% in plaats van 30%.</w:t>
      </w:r>
    </w:p>
    <w:p>
      <w:pPr>
        <w:spacing w:after="140" w:line="300"/>
      </w:pPr>
      <w:r>
        <w:rPr>
          <w:rFonts w:ascii="Calibri" w:cs="Calibri" w:eastAsia="Calibri" w:hAnsi="Calibri"/>
          <w:b w:val="false"/>
          <w:bCs w:val="false"/>
          <w:i w:val="false"/>
          <w:iCs w:val="false"/>
          <w:sz w:val="22"/>
          <w:szCs w:val="22"/>
        </w:rPr>
        <w:t xml:space="preserve">a. Wat is het maximale extra compensatiebedrag per jaar voor Karel (grondslag € 28.828), als de werkgever het volledige extra procentpunt zou benutten?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Klopt de uitspraak: “we mogen dus in totaal 18% compensatiepremie geven bovenop de 15%”?</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3% van € 28.828 = € 864,84 per jaar maximaal, binnen de fiscale ruimte. Of dat voldoende is om het volledige verschil van € 2.595 (opdracht in 11.4-stijl, zie 11.4 van de reader) te dekken, is een aparte vraag — fiscale ruimte is een plafond, geen garantie dat het hele gat wordt gedicht.</w:t>
      </w:r>
    </w:p>
    <w:p>
      <w:pPr>
        <w:spacing w:after="140" w:line="300"/>
      </w:pPr>
      <w:r>
        <w:rPr>
          <w:rFonts w:ascii="Calibri" w:cs="Calibri" w:eastAsia="Calibri" w:hAnsi="Calibri"/>
          <w:b w:val="false"/>
          <w:bCs w:val="false"/>
          <w:i w:val="false"/>
          <w:iCs w:val="false"/>
          <w:sz w:val="22"/>
          <w:szCs w:val="22"/>
        </w:rPr>
        <w:t xml:space="preserve">b. Nee. De extra ruimte is 3 procentpunt bovenop de 30%-grens, dus maximaal 33% in totaal — niet 15% regulier plus 18% compensatie. Deze verwarring komt vaak voor; herhaal het onderscheid tussen grens en gekozen premie.</w:t>
      </w:r>
    </w:p>
    <w:p>
      <w:pPr>
        <w:spacing w:after="100"/>
      </w:pPr>
    </w:p>
    <w:p>
      <w:pPr>
        <w:pStyle w:val="Heading2"/>
        <w:spacing w:after="120" w:before="200"/>
      </w:pPr>
      <w:r>
        <w:rPr>
          <w:rFonts w:ascii="Georgia" w:cs="Georgia" w:eastAsia="Georgia" w:hAnsi="Georgia"/>
          <w:b/>
          <w:bCs/>
          <w:color w:val="2563A8"/>
          <w:sz w:val="28"/>
          <w:szCs w:val="28"/>
        </w:rPr>
        <w:t xml:space="preserve">Opdracht 11.6 — De aftoppingsgrens in een groeiend bedrijf</w:t>
      </w:r>
    </w:p>
    <w:p>
      <w:pPr>
        <w:spacing w:after="140" w:line="300"/>
      </w:pPr>
      <w:r>
        <w:rPr>
          <w:rFonts w:ascii="Calibri" w:cs="Calibri" w:eastAsia="Calibri" w:hAnsi="Calibri"/>
          <w:b w:val="false"/>
          <w:bCs w:val="false"/>
          <w:i w:val="false"/>
          <w:iCs w:val="false"/>
          <w:sz w:val="22"/>
          <w:szCs w:val="22"/>
        </w:rPr>
        <w:t xml:space="preserve">Van Doorn Techniek groeit. Over vijf jaar verwacht Ferdi een technisch directeur aan te trekken met een salaris van € 130.000, en over tien jaar mogelijk een tweede leidinggevende rond € 145.000.</w:t>
      </w:r>
    </w:p>
    <w:p>
      <w:pPr>
        <w:spacing w:after="140" w:line="300"/>
      </w:pPr>
      <w:r>
        <w:rPr>
          <w:rFonts w:ascii="Calibri" w:cs="Calibri" w:eastAsia="Calibri" w:hAnsi="Calibri"/>
          <w:b w:val="false"/>
          <w:bCs w:val="false"/>
          <w:i w:val="false"/>
          <w:iCs w:val="false"/>
          <w:sz w:val="22"/>
          <w:szCs w:val="22"/>
        </w:rPr>
        <w:t xml:space="preserve">a. Is de aftoppingsgrens nu al relevant voor Van Doorn?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adviseer je voor over vijf en over tien jaar?</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Nog niet direct — het huidige bestand blijft onder de grens. Maar de situatie over vijf en tien jaar is voorzienbaar en hoort daarom nu al genoemd te worden, ook al is er nog geen actie nodig.</w:t>
      </w:r>
    </w:p>
    <w:p>
      <w:pPr>
        <w:spacing w:after="140" w:line="300"/>
      </w:pPr>
      <w:r>
        <w:rPr>
          <w:rFonts w:ascii="Calibri" w:cs="Calibri" w:eastAsia="Calibri" w:hAnsi="Calibri"/>
          <w:b w:val="false"/>
          <w:bCs w:val="false"/>
          <w:i w:val="false"/>
          <w:iCs w:val="false"/>
          <w:sz w:val="22"/>
          <w:szCs w:val="22"/>
        </w:rPr>
        <w:t xml:space="preserve">b. Over vijf jaar (€ 130.000): nog onder de grens van € 137.800, geen actie nodig maar wel monitoren. Over tien jaar (€ 145.000): boven de grens; dan moet worden overwogen of Van Doorn een nettopensioenregeling aanbiedt voor het salarisdeel daarboven, met de afweging dat dit vrijwillig is voor werkgever én werknemer.</w:t>
      </w:r>
    </w:p>
    <w:p>
      <w:pPr>
        <w:spacing w:after="140" w:line="300"/>
      </w:pPr>
      <w:r>
        <w:rPr>
          <w:rFonts w:ascii="Calibri" w:cs="Calibri" w:eastAsia="Calibri" w:hAnsi="Calibri"/>
          <w:b w:val="false"/>
          <w:bCs w:val="false"/>
          <w:i w:val="false"/>
          <w:iCs w:val="false"/>
          <w:sz w:val="22"/>
          <w:szCs w:val="22"/>
        </w:rPr>
        <w:t xml:space="preserve">Beoordelingslijn: een sterk advies noemt dit nu al, kort, als vooruitziende blik — niet als actiepunt. Dat is het verschil tussen een adviseur die vooruitkijkt en een adviseur die alleen op vandaag reageert.</w:t>
      </w:r>
    </w:p>
    <w:p>
      <w:pPr>
        <w:spacing w:after="100"/>
      </w:pPr>
    </w:p>
    <w:p>
      <w:pPr>
        <w:pStyle w:val="Heading2"/>
        <w:spacing w:after="120" w:before="200"/>
      </w:pPr>
      <w:r>
        <w:rPr>
          <w:rFonts w:ascii="Georgia" w:cs="Georgia" w:eastAsia="Georgia" w:hAnsi="Georgia"/>
          <w:b/>
          <w:bCs/>
          <w:color w:val="2563A8"/>
          <w:sz w:val="28"/>
          <w:szCs w:val="28"/>
        </w:rPr>
        <w:t xml:space="preserve">Opdracht 11.7 — Fouten herkennen</w:t>
      </w:r>
    </w:p>
    <w:p>
      <w:pPr>
        <w:spacing w:after="140" w:line="300"/>
      </w:pPr>
      <w:r>
        <w:rPr>
          <w:rFonts w:ascii="Calibri" w:cs="Calibri" w:eastAsia="Calibri" w:hAnsi="Calibri"/>
          <w:b w:val="false"/>
          <w:bCs w:val="false"/>
          <w:i w:val="false"/>
          <w:iCs w:val="false"/>
          <w:sz w:val="22"/>
          <w:szCs w:val="22"/>
        </w:rPr>
        <w:t xml:space="preserve">Bij welke van de vijf fouten uit paragraaf 11.7 hoort elke uitspraak?</w:t>
      </w:r>
    </w:p>
    <w:p>
      <w:pPr>
        <w:spacing w:after="140" w:line="300"/>
      </w:pPr>
      <w:r>
        <w:rPr>
          <w:rFonts w:ascii="Calibri" w:cs="Calibri" w:eastAsia="Calibri" w:hAnsi="Calibri"/>
          <w:b w:val="false"/>
          <w:bCs w:val="false"/>
          <w:i w:val="false"/>
          <w:iCs w:val="false"/>
          <w:sz w:val="22"/>
          <w:szCs w:val="22"/>
        </w:rPr>
        <w:t xml:space="preserve">a. “De franchise is toch gewoon € 19.172, dat staat overal.”</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“30% van € 48.000 is € 14.400 premie.”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“We hebben vorig jaar met € 18.475 gerekend, dat zal nu niet veel anders zijn.”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“Onze compensatiepremie mag dus permanent 3% extra blijven, ook na de compensatieperiode.”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fout 1 (franchise als vast bedrag behandeld, niet als minimum gekoppeld aan het premiepercentage). b: fout 2 (30% wordt op het salaris toegepast in plaats van op de grondslag; correct is 30% × (€ 48.000 − franchise)). c: fout 4 (verouderd bedrag, ongecontroleerd hergebruikt). d: fout 5 (de verhoging is tijdelijk, tot uiterlijk 1 januari 2037).</w:t>
            </w:r>
          </w:p>
        </w:tc>
      </w:tr>
    </w:tbl>
    <w:p>
      <w:pPr>
        <w:spacing w:after="100"/>
      </w:pPr>
    </w:p>
    <w:p>
      <w:pPr>
        <w:pStyle w:val="Heading2"/>
        <w:spacing w:after="120" w:before="200"/>
      </w:pPr>
      <w:r>
        <w:rPr>
          <w:rFonts w:ascii="Georgia" w:cs="Georgia" w:eastAsia="Georgia" w:hAnsi="Georgia"/>
          <w:b/>
          <w:bCs/>
          <w:color w:val="2563A8"/>
          <w:sz w:val="28"/>
          <w:szCs w:val="28"/>
        </w:rPr>
        <w:t xml:space="preserve">Opdracht 11.8 — Volledige berekening voor je eigen dossier</w:t>
      </w:r>
    </w:p>
    <w:p>
      <w:pPr>
        <w:spacing w:after="140" w:line="300"/>
      </w:pPr>
      <w:r>
        <w:rPr>
          <w:rFonts w:ascii="Calibri" w:cs="Calibri" w:eastAsia="Calibri" w:hAnsi="Calibri"/>
          <w:b w:val="false"/>
          <w:bCs w:val="false"/>
          <w:i w:val="false"/>
          <w:iCs w:val="false"/>
          <w:sz w:val="22"/>
          <w:szCs w:val="22"/>
        </w:rPr>
        <w:t xml:space="preserve">Neem het dossier waarmee je in niveau 1 hebt gewerkt (of, als dat een fondsdossier was, kies een fictieve verzekerde regeling). Bereken voor twee fictieve medewerkers — één jong, één oud — de pensioengrondslag en de premie in euro’s, zowel onder de huidige regeling als onder een vlakke premie van jouw keuze binnen de fiscale grens. Presenteer de uitkomst zoals je hem aan een werkgever zou laten zien: in euro’s per maand, niet in percentages.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Beoordelingscriteria: de juiste franchisecategorie is toegepast; de aftoppingsgrens is gecontroleerd; de uitkomst staat in euro’s per maand; en er is een zin toegevoegd die het verschil voor de oudste medewerker benoemt zonder het woord “gemiddeld”.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2026-08-17T11:22:44.620Z</dcterms:created>
  <dcterms:modified xsi:type="dcterms:W3CDTF">2026-08-17T11:22:44.620Z</dcterms:modified>
</cp:coreProperties>
</file>

<file path=docProps/custom.xml><?xml version="1.0" encoding="utf-8"?>
<Properties xmlns="http://schemas.openxmlformats.org/officeDocument/2006/custom-properties" xmlns:vt="http://schemas.openxmlformats.org/officeDocument/2006/docPropsVTypes"/>
</file>