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12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12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Deelnemers moeten aan het eind een offerte kunnen lezen zoals een vakman een blauwdruk leest: niet alleen het premiepercentage zien, maar de lifecycle, de kosten en het garantieniveau als even zwaarwegende onderdelen behandelen.</w:t>
      </w:r>
    </w:p>
    <w:p>
      <w:pPr>
        <w:spacing w:after="140" w:line="300"/>
      </w:pPr>
      <w:r>
        <w:rPr>
          <w:rFonts w:ascii="Calibri" w:cs="Calibri" w:eastAsia="Calibri" w:hAnsi="Calibri"/>
          <w:b w:val="false"/>
          <w:bCs w:val="false"/>
          <w:i w:val="false"/>
          <w:iCs w:val="false"/>
          <w:sz w:val="22"/>
          <w:szCs w:val="22"/>
        </w:rPr>
        <w:t xml:space="preserve">De kernboodschap: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Twee offertes met hetzelfde premiepercentage zijn niet hetzelfde product.</w:t>
            </w:r>
          </w:p>
        </w:tc>
      </w:tr>
    </w:tbl>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11, opening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lifecycle-principe, twee risico’s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12-1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profielen + opdracht 12.2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kiest, wat als niemand kiest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Kostencomponenten + opdracht 12.3 en 12.4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rekenwerk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Garanties, opdracht 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PPI versus verzekeraar, opdracht 12.6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Vergeten bij de transitie (12.8),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lifecycle-principe.</w:t>
      </w:r>
      <w:r>
        <w:rPr>
          <w:rFonts w:ascii="Calibri" w:cs="Calibri" w:eastAsia="Calibri" w:hAnsi="Calibri"/>
          <w:b w:val="false"/>
          <w:bCs w:val="false"/>
          <w:i w:val="false"/>
          <w:iCs w:val="false"/>
          <w:sz w:val="22"/>
          <w:szCs w:val="22"/>
        </w:rPr>
        <w:t xml:space="preserve"> Teken de grafiek uit figuur 12-1 zelf op de flap, met de twee knikpunten duidelijk gemarkeerd. Het punt dat moet landen: er zijn twee aparte risico’s die op twee aparte momenten worden afgebouwd. Veel deelnemers — ook ervaren adviseurs — denken dat lifecycle één geleidelijk proces is. Het is een proces met een knik.</w:t>
      </w:r>
    </w:p>
    <w:p>
      <w:pPr>
        <w:spacing w:after="140" w:line="300"/>
      </w:pPr>
      <w:r>
        <w:rPr>
          <w:rFonts w:ascii="Calibri" w:cs="Calibri" w:eastAsia="Calibri" w:hAnsi="Calibri"/>
          <w:b w:val="false"/>
          <w:bCs w:val="false"/>
          <w:i w:val="false"/>
          <w:iCs w:val="false"/>
          <w:sz w:val="22"/>
          <w:szCs w:val="22"/>
        </w:rPr>
        <w:t xml:space="preserve">Gebruik de vraag: “als de aandelenkoersen fantastisch presteren in het laatste jaar voor pensionering, profiteert de deelnemer daar dan volledig van?” Antwoord: nee, want tegen die tijd is het grootste deel al naar renterisico-instrumenten verschoven. Dat verrast en het illustreert precies waarom de twee fasen apart moeten worden begrepen.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Drie profielen.</w:t>
      </w:r>
      <w:r>
        <w:rPr>
          <w:rFonts w:ascii="Calibri" w:cs="Calibri" w:eastAsia="Calibri" w:hAnsi="Calibri"/>
          <w:b w:val="false"/>
          <w:bCs w:val="false"/>
          <w:i w:val="false"/>
          <w:iCs w:val="false"/>
          <w:sz w:val="22"/>
          <w:szCs w:val="22"/>
        </w:rPr>
        <w:t xml:space="preserve"> Bij opdracht 12.2, situatie c: dit is de casus die laat zien dat leeftijd niet de enige variabele is. Iemand met vermogen elders kan bewust meer risico nemen in zijn pensioenkapitaal. Laat de groep dit zelf beargumenteren voordat je het bevestigt.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kiest.</w:t>
      </w:r>
      <w:r>
        <w:rPr>
          <w:rFonts w:ascii="Calibri" w:cs="Calibri" w:eastAsia="Calibri" w:hAnsi="Calibri"/>
          <w:b w:val="false"/>
          <w:bCs w:val="false"/>
          <w:i w:val="false"/>
          <w:iCs w:val="false"/>
          <w:sz w:val="22"/>
          <w:szCs w:val="22"/>
        </w:rPr>
        <w:t xml:space="preserve"> Benadruk het weinig besproken punt: de werkgever kiest het standaardprofiel voor bijna het hele bestand, omdat de meeste deelnemers nooit actief kiezen. Dat maakt dit een belangrijke, vaak lichtvaardig genomen beslissing bij het afsluiten van een contract. Vraag de zaal: wie heeft ooit een werkgever bewust zien kiezen tussen defensief, neutraal en offensief als standaard, met een onderbouwing? De meeste antwoorden zullen nee zijn — dat is het leerpunt.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Kostencomponenten.</w:t>
      </w:r>
      <w:r>
        <w:rPr>
          <w:rFonts w:ascii="Calibri" w:cs="Calibri" w:eastAsia="Calibri" w:hAnsi="Calibri"/>
          <w:b w:val="false"/>
          <w:bCs w:val="false"/>
          <w:i w:val="false"/>
          <w:iCs w:val="false"/>
          <w:sz w:val="22"/>
          <w:szCs w:val="22"/>
        </w:rPr>
        <w:t xml:space="preserve"> Doe opdracht 12.3 klassikaal als opwarmer, dan 12.4 individueel als rekenopdracht. Bij 12.4: laat de groep zelf concluderen dat het TER-effect met de horizon schaalt — Karel merkt weinig, Yasmin merkt veel. Dat is een directe toepassing van de rekenlogica uit deel 11 (percentages naar euro’s, nu over decennia in plaats van één jaar).</w:t>
      </w:r>
    </w:p>
    <w:p>
      <w:pPr>
        <w:spacing w:after="140" w:line="300"/>
      </w:pPr>
      <w:r>
        <w:rPr>
          <w:rFonts w:ascii="Calibri" w:cs="Calibri" w:eastAsia="Calibri" w:hAnsi="Calibri"/>
          <w:b w:val="false"/>
          <w:bCs w:val="false"/>
          <w:i w:val="false"/>
          <w:iCs w:val="false"/>
          <w:sz w:val="22"/>
          <w:szCs w:val="22"/>
        </w:rPr>
        <w:t xml:space="preserve">Waarschuw voor het woord “inbegrepen” in offertes — het is een rode vlag voor onvoldoende transparantie, niet een geruststelling.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Garanties.</w:t>
      </w:r>
      <w:r>
        <w:rPr>
          <w:rFonts w:ascii="Calibri" w:cs="Calibri" w:eastAsia="Calibri" w:hAnsi="Calibri"/>
          <w:b w:val="false"/>
          <w:bCs w:val="false"/>
          <w:i w:val="false"/>
          <w:iCs w:val="false"/>
          <w:sz w:val="22"/>
          <w:szCs w:val="22"/>
        </w:rPr>
        <w:t xml:space="preserve"> Leg de kern van de afruil uit met één zin: garanderen kost de verzekeraar kapitaal, en dat kapitaal komt uit de premie of het rendement van de deelnemer. Bij opdracht 12.5: het interessantste gesprek zit in situatie c (Van Doorn), waar een generieke garantie voor een divers bestand wordt afgewezen ten gunste van individuele keuzevrijheid. Laat de groep hardop het argument formuleren waarom “één uniforme garantie voor iedereen” hier niet de beste oplossing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PPI versus verzekeraar.</w:t>
      </w:r>
      <w:r>
        <w:rPr>
          <w:rFonts w:ascii="Calibri" w:cs="Calibri" w:eastAsia="Calibri" w:hAnsi="Calibri"/>
          <w:b w:val="false"/>
          <w:bCs w:val="false"/>
          <w:i w:val="false"/>
          <w:iCs w:val="false"/>
          <w:sz w:val="22"/>
          <w:szCs w:val="22"/>
        </w:rPr>
        <w:t xml:space="preserve"> Herhaal kort de kern uit deel 1 en 3 voordat je de tabel uit paragraaf 12.8 induikt: een PPI mag geen verzekeringstechnisch risico dragen. Alles in dit onderdeel volgt daaruit. Opdracht 12.6d is de mooiste vraag: bijna iedereen denkt eerst dat shoprecht een verzekeraars-onderwerp is, terwijl het net zo goed bij een PPI bestaat — het enige scenario zonder shoprecht is de premie-uitkeringsovereenkomst uit deel 3.</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12.8.</w:t>
      </w:r>
      <w:r>
        <w:rPr>
          <w:rFonts w:ascii="Calibri" w:cs="Calibri" w:eastAsia="Calibri" w:hAnsi="Calibri"/>
          <w:b w:val="false"/>
          <w:bCs w:val="false"/>
          <w:i w:val="false"/>
          <w:iCs w:val="false"/>
          <w:sz w:val="22"/>
          <w:szCs w:val="22"/>
        </w:rPr>
        <w:t xml:space="preserve"> Sluit hiermee af. Dit is een praktijkincident dat rechtstreeks vooruitwijst naar deel 15 (implementatie) en deel 19 (data en processen). Laat de groep zelf het woord “implementatieplan” noemen als oplossing — als niemand het noemt, breng het dan zelf in en verwijs vooruit.</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hogere TER altijd slecht?”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Niet per se — een actief beheerd fonds met een hogere TER kan een hoger verwacht rendement bieden. Het punt is niet “laag is beter”, maar “vergelijk bewust en reken het door”, precies zoals bij opdracht 12.4.</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betaalt de TER — de werkgever of de deelnemer?”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TER wordt ingehouden op het belegde vermogen, dus feitelijk drukt zij op het rendement van de deelnemer, ook als de werkgever de poliskosten voor zijn rekening neemt. Dit onderscheid wordt in gesprekken met werkgevers vaak niet gemaakt en verdient expliciete aandacht.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deelnemer tussentijds van profiel wisselen?”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 de regel wel, met een zekere frequentie of onder voorwaarden die per uitvoerder verschillen. Controleer het reglement; dit is een detail dat in de keuzebegeleiding (deel 17) hoort te worden gecommuniceerd.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garantiecontract hetzelfde als de premie-uitkeringsovereenkomst uit deel 3?”</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een garantiecontract garandeert een kapitaal of rendement tijdens de opbouwfase, maar de deelnemer heeft op de pensioendatum nog steeds een kapitaal om mee te shoppen. Bij de premie-uitkeringsovereenkomst zijn er tijdens de opbouw al aanspraken ingekocht en is er nooit een vrij kapitaal geweest. Twee verschillende constructies die vaak worden verward.</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lifecycle-grafiek als flap of slide, met de twee knikpunten gemarkeerd</w:t>
      </w:r>
    </w:p>
    <w:p>
      <w:pPr>
        <w:pStyle w:val="ListParagraph"/>
        <w:numPr>
          <w:ilvl w:val="0"/>
          <w:numId w:val="1"/>
        </w:numPr>
        <w:spacing w:after="80"/>
      </w:pPr>
      <w:r>
        <w:rPr>
          <w:rFonts w:ascii="Calibri" w:cs="Calibri" w:eastAsia="Calibri" w:hAnsi="Calibri"/>
          <w:sz w:val="22"/>
          <w:szCs w:val="22"/>
        </w:rPr>
        <w:t xml:space="preserve">Twee fictieve maar realistische offertes voor opdracht 12.4 en 12.7, met TER, poliskosten en garantieniveau expliciet ingevuld</w:t>
      </w:r>
    </w:p>
    <w:p>
      <w:pPr>
        <w:pStyle w:val="ListParagraph"/>
        <w:numPr>
          <w:ilvl w:val="0"/>
          <w:numId w:val="1"/>
        </w:numPr>
        <w:spacing w:after="80"/>
      </w:pPr>
      <w:r>
        <w:rPr>
          <w:rFonts w:ascii="Calibri" w:cs="Calibri" w:eastAsia="Calibri" w:hAnsi="Calibri"/>
          <w:sz w:val="22"/>
          <w:szCs w:val="22"/>
        </w:rPr>
        <w:t xml:space="preserve">Rekenmachine of spreadsheet voor het doorrekenen van het TER-effect over dertig en over negen jaar</w:t>
      </w:r>
    </w:p>
    <w:p>
      <w:pPr>
        <w:pStyle w:val="ListParagraph"/>
        <w:numPr>
          <w:ilvl w:val="0"/>
          <w:numId w:val="1"/>
        </w:numPr>
        <w:spacing w:after="80"/>
      </w:pPr>
      <w:r>
        <w:rPr>
          <w:rFonts w:ascii="Calibri" w:cs="Calibri" w:eastAsia="Calibri" w:hAnsi="Calibri"/>
          <w:sz w:val="22"/>
          <w:szCs w:val="22"/>
        </w:rPr>
        <w:t xml:space="preserve">Optioneel: een grafiek die het cumulatieve effect van 0,5% TER-verschil over dertig jaar visualiseert — dit maakt meer indruk dan een tabel met percentages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geen apart huiswerk dit deel; opdracht 12.7 en 12.8 zijn in de sessie zelf voltooid of worden afgerond als korte reflectie. Kondig deel 13 aan: het kapitaal is opgebouwd, de pensioendatum nadert — wat gebeurt er dan met vast versus variabel, shoprecht en het projectierendement?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2026-08-17T11:22:44.814Z</dcterms:created>
  <dcterms:modified xsi:type="dcterms:W3CDTF">2026-08-17T11:22:44.814Z</dcterms:modified>
</cp:coreProperties>
</file>

<file path=docProps/custom.xml><?xml version="1.0" encoding="utf-8"?>
<Properties xmlns="http://schemas.openxmlformats.org/officeDocument/2006/custom-properties" xmlns:vt="http://schemas.openxmlformats.org/officeDocument/2006/docPropsVTypes"/>
</file>