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12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12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12.1 — Twee risico’s, twee fasen</w:t>
      </w:r>
    </w:p>
    <w:p>
      <w:pPr>
        <w:spacing w:after="140" w:line="300"/>
      </w:pPr>
      <w:r>
        <w:rPr>
          <w:rFonts w:ascii="Calibri" w:cs="Calibri" w:eastAsia="Calibri" w:hAnsi="Calibri"/>
          <w:b w:val="false"/>
          <w:bCs w:val="false"/>
          <w:i w:val="false"/>
          <w:iCs w:val="false"/>
          <w:sz w:val="22"/>
          <w:szCs w:val="22"/>
        </w:rPr>
        <w:t xml:space="preserve">Leg in eigen woorden uit waarom de lifecycle niet één maar twee soorten risico afbouwt, en waarom dat op verschillende momenten gebeurt.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Aandelenrisico (koersschommeling) wordt vroeg afgebouwd omdat een koersdaling met voldoende tijd nog kan worden goedgemaakt — daarom start die afbouw al ruim vijftien jaar voor de pensioendatum. Renterisico wordt pas laat relevant, omdat het pas gaat spelen bij de omzetting van kapitaal naar uitkering op de pensioendatum zelf; pas in de laatste jaren wordt daarom actief tegen renteschommelingen beschermd, doorgaans vanaf ongeveer acht jaar van tevoren. Wie beide risico’s als één ding behandelt, mist dat de bescherming tegen renterisico veel later begint dan de bescherming tegen koersrisico.</w:t>
            </w:r>
          </w:p>
        </w:tc>
      </w:tr>
    </w:tbl>
    <w:p>
      <w:pPr>
        <w:spacing w:after="100"/>
      </w:pPr>
    </w:p>
    <w:p>
      <w:pPr>
        <w:pStyle w:val="Heading2"/>
        <w:spacing w:after="120" w:before="200"/>
      </w:pPr>
      <w:r>
        <w:rPr>
          <w:rFonts w:ascii="Georgia" w:cs="Georgia" w:eastAsia="Georgia" w:hAnsi="Georgia"/>
          <w:b/>
          <w:bCs/>
          <w:color w:val="2563A8"/>
          <w:sz w:val="28"/>
          <w:szCs w:val="28"/>
        </w:rPr>
        <w:t xml:space="preserve">Opdracht 12.2 — Profiel kiezen</w:t>
      </w:r>
    </w:p>
    <w:p>
      <w:pPr>
        <w:spacing w:after="140" w:line="300"/>
      </w:pPr>
      <w:r>
        <w:rPr>
          <w:rFonts w:ascii="Calibri" w:cs="Calibri" w:eastAsia="Calibri" w:hAnsi="Calibri"/>
          <w:b w:val="false"/>
          <w:bCs w:val="false"/>
          <w:i w:val="false"/>
          <w:iCs w:val="false"/>
          <w:sz w:val="22"/>
          <w:szCs w:val="22"/>
        </w:rPr>
        <w:t xml:space="preserve">Adviseer een risicoprofiel voor elke deelnemer en motiveer.</w:t>
      </w:r>
    </w:p>
    <w:p>
      <w:pPr>
        <w:spacing w:after="140" w:line="300"/>
      </w:pPr>
      <w:r>
        <w:rPr>
          <w:rFonts w:ascii="Calibri" w:cs="Calibri" w:eastAsia="Calibri" w:hAnsi="Calibri"/>
          <w:b w:val="false"/>
          <w:bCs w:val="false"/>
          <w:i w:val="false"/>
          <w:iCs w:val="false"/>
          <w:sz w:val="22"/>
          <w:szCs w:val="22"/>
        </w:rPr>
        <w:t xml:space="preserve">a. Yasmin (26), lange horizon, geen specifieke risicowens uitgesproken.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Karel (58), negen jaar tot pensionering, wil geen verrassingen meer.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40-jarige met een aanvullend particulier vermogen die bewust meer risico wil nemen voor een hoger verwacht pensioen.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nieuwe medewerker die de vragenlijst niet invult.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Neutraal of offensief zijn beide verdedigbaar gezien haar horizon; zonder uitgesproken risicowens is neutraal (het standaardprofiel) een redelijk vertrekpunt, met de suggestie om de keuzehulp in te vullen.</w:t>
      </w:r>
    </w:p>
    <w:p>
      <w:pPr>
        <w:spacing w:after="140" w:line="300"/>
      </w:pPr>
      <w:r>
        <w:rPr>
          <w:rFonts w:ascii="Calibri" w:cs="Calibri" w:eastAsia="Calibri" w:hAnsi="Calibri"/>
          <w:b w:val="false"/>
          <w:bCs w:val="false"/>
          <w:i w:val="false"/>
          <w:iCs w:val="false"/>
          <w:sz w:val="22"/>
          <w:szCs w:val="22"/>
        </w:rPr>
        <w:t xml:space="preserve">b. Defensief, of in ieder geval een profiel waarin de renterisico-afbouw al ver gevorderd is — hij zit middenin de fase waarin dat relevant wordt.</w:t>
      </w:r>
    </w:p>
    <w:p>
      <w:pPr>
        <w:spacing w:after="140" w:line="300"/>
      </w:pPr>
      <w:r>
        <w:rPr>
          <w:rFonts w:ascii="Calibri" w:cs="Calibri" w:eastAsia="Calibri" w:hAnsi="Calibri"/>
          <w:b w:val="false"/>
          <w:bCs w:val="false"/>
          <w:i w:val="false"/>
          <w:iCs w:val="false"/>
          <w:sz w:val="22"/>
          <w:szCs w:val="22"/>
        </w:rPr>
        <w:t xml:space="preserve">c. Offensief kan hier passen, juist omdat hij elders al een buffer heeft en de volatiliteit in het pensioenvermogen kan dragen. Dit is een voorbeeld waarbij de totale vermogenspositie de keuze beïnvloedt, niet alleen de leeftijd.</w:t>
      </w:r>
    </w:p>
    <w:p>
      <w:pPr>
        <w:spacing w:after="140" w:line="300"/>
      </w:pPr>
      <w:r>
        <w:rPr>
          <w:rFonts w:ascii="Calibri" w:cs="Calibri" w:eastAsia="Calibri" w:hAnsi="Calibri"/>
          <w:b w:val="false"/>
          <w:bCs w:val="false"/>
          <w:i w:val="false"/>
          <w:iCs w:val="false"/>
          <w:sz w:val="22"/>
          <w:szCs w:val="22"/>
        </w:rPr>
        <w:t xml:space="preserve">d. Het standaardprofiel van de regeling, doorgaans neutraal. Belangrijk om te melden: dit is een default, geen advies op maat — de keuzebegeleidingsplicht (deel 17) blijft relevant, ook voor wie niet actief kiest.</w:t>
      </w:r>
    </w:p>
    <w:p>
      <w:pPr>
        <w:spacing w:after="100"/>
      </w:pPr>
    </w:p>
    <w:p>
      <w:pPr>
        <w:pStyle w:val="Heading2"/>
        <w:spacing w:after="120" w:before="200"/>
      </w:pPr>
      <w:r>
        <w:rPr>
          <w:rFonts w:ascii="Georgia" w:cs="Georgia" w:eastAsia="Georgia" w:hAnsi="Georgia"/>
          <w:b/>
          <w:bCs/>
          <w:color w:val="2563A8"/>
          <w:sz w:val="28"/>
          <w:szCs w:val="28"/>
        </w:rPr>
        <w:t xml:space="preserve">Opdracht 12.3 — Kosten herkennen in een offerte</w:t>
      </w:r>
    </w:p>
    <w:p>
      <w:pPr>
        <w:spacing w:after="140" w:line="300"/>
      </w:pPr>
      <w:r>
        <w:rPr>
          <w:rFonts w:ascii="Calibri" w:cs="Calibri" w:eastAsia="Calibri" w:hAnsi="Calibri"/>
          <w:b w:val="false"/>
          <w:bCs w:val="false"/>
          <w:i w:val="false"/>
          <w:iCs w:val="false"/>
          <w:sz w:val="22"/>
          <w:szCs w:val="22"/>
        </w:rPr>
        <w:t xml:space="preserve">Een offerte vermeldt: “Premiepercentage 15%, uitvoeringskosten inbegrepen.” Noem drie vragen die je stelt voordat je deze offerte accepteert.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Wat is de TER per onderliggend beleggingsfonds in de lifecycle — een gemiddeld cijfer verhult vaak spreiding tussen fondsen.</w:t>
      </w:r>
    </w:p>
    <w:p>
      <w:pPr>
        <w:pStyle w:val="ListParagraph"/>
        <w:numPr>
          <w:ilvl w:val="0"/>
          <w:numId w:val="1"/>
        </w:numPr>
        <w:spacing w:after="80"/>
      </w:pPr>
      <w:r>
        <w:rPr>
          <w:rFonts w:ascii="Calibri" w:cs="Calibri" w:eastAsia="Calibri" w:hAnsi="Calibri"/>
          <w:sz w:val="22"/>
          <w:szCs w:val="22"/>
        </w:rPr>
        <w:t xml:space="preserve">2. Zijn de risicopremies voor partnerpensioen en arbeidsongeschiktheid in dit percentage verwerkt, of komen die er nog bovenop? Dit raakt direct de 30%-toets uit deel 11.</w:t>
      </w:r>
    </w:p>
    <w:p>
      <w:pPr>
        <w:pStyle w:val="ListParagraph"/>
        <w:numPr>
          <w:ilvl w:val="0"/>
          <w:numId w:val="1"/>
        </w:numPr>
        <w:spacing w:after="80"/>
      </w:pPr>
      <w:r>
        <w:rPr>
          <w:rFonts w:ascii="Calibri" w:cs="Calibri" w:eastAsia="Calibri" w:hAnsi="Calibri"/>
          <w:sz w:val="22"/>
          <w:szCs w:val="22"/>
        </w:rPr>
        <w:t xml:space="preserve">3. Wat gebeurt er met de kosten bij een dalend deelnemersaantal of bij beëindiging van het contract — zijn er vaste kosten die dan per hoofd stijgen?</w:t>
      </w:r>
    </w:p>
    <w:p>
      <w:pPr>
        <w:spacing w:after="140" w:line="300"/>
      </w:pPr>
      <w:r>
        <w:rPr>
          <w:rFonts w:ascii="Calibri" w:cs="Calibri" w:eastAsia="Calibri" w:hAnsi="Calibri"/>
          <w:b w:val="false"/>
          <w:bCs w:val="false"/>
          <w:i w:val="false"/>
          <w:iCs w:val="false"/>
          <w:sz w:val="22"/>
          <w:szCs w:val="22"/>
        </w:rPr>
        <w:t xml:space="preserve">“Inbegrepen” is een woord dat meer verhult dan het onthult; het dwingt niet tot transparantie over de samenstelling.</w:t>
      </w:r>
    </w:p>
    <w:p>
      <w:pPr>
        <w:spacing w:after="100"/>
      </w:pPr>
    </w:p>
    <w:p>
      <w:pPr>
        <w:pStyle w:val="Heading2"/>
        <w:spacing w:after="120" w:before="200"/>
      </w:pPr>
      <w:r>
        <w:rPr>
          <w:rFonts w:ascii="Georgia" w:cs="Georgia" w:eastAsia="Georgia" w:hAnsi="Georgia"/>
          <w:b/>
          <w:bCs/>
          <w:color w:val="2563A8"/>
          <w:sz w:val="28"/>
          <w:szCs w:val="28"/>
        </w:rPr>
        <w:t xml:space="preserve">Opdracht 12.4 — TER doorrekenen *</w:t>
      </w:r>
    </w:p>
    <w:p>
      <w:pPr>
        <w:spacing w:after="140" w:line="300"/>
      </w:pPr>
      <w:r>
        <w:rPr>
          <w:rFonts w:ascii="Calibri" w:cs="Calibri" w:eastAsia="Calibri" w:hAnsi="Calibri"/>
          <w:b w:val="false"/>
          <w:bCs w:val="false"/>
          <w:i w:val="false"/>
          <w:iCs w:val="false"/>
          <w:sz w:val="22"/>
          <w:szCs w:val="22"/>
        </w:rPr>
        <w:t xml:space="preserve">Twee offertes voor Van Doorn Techniek, beide 15% premie:</w:t>
      </w:r>
    </w:p>
    <w:p>
      <w:pPr>
        <w:pStyle w:val="ListParagraph"/>
        <w:numPr>
          <w:ilvl w:val="0"/>
          <w:numId w:val="1"/>
        </w:numPr>
        <w:spacing w:after="80"/>
      </w:pPr>
      <w:r>
        <w:rPr>
          <w:rFonts w:ascii="Calibri" w:cs="Calibri" w:eastAsia="Calibri" w:hAnsi="Calibri"/>
          <w:sz w:val="22"/>
          <w:szCs w:val="22"/>
        </w:rPr>
        <w:t xml:space="preserve">Offerte A: TER 0,45%, poliskosten € 40 per deelnemer per jaar.</w:t>
      </w:r>
    </w:p>
    <w:p>
      <w:pPr>
        <w:pStyle w:val="ListParagraph"/>
        <w:numPr>
          <w:ilvl w:val="0"/>
          <w:numId w:val="1"/>
        </w:numPr>
        <w:spacing w:after="80"/>
      </w:pPr>
      <w:r>
        <w:rPr>
          <w:rFonts w:ascii="Calibri" w:cs="Calibri" w:eastAsia="Calibri" w:hAnsi="Calibri"/>
          <w:sz w:val="22"/>
          <w:szCs w:val="22"/>
        </w:rPr>
        <w:t xml:space="preserve">Offerte B: TER 0,95%, poliskosten € 15 per deelnemer per jaar.</w:t>
      </w:r>
    </w:p>
    <w:p>
      <w:pPr>
        <w:spacing w:after="140" w:line="300"/>
      </w:pPr>
      <w:r>
        <w:rPr>
          <w:rFonts w:ascii="Calibri" w:cs="Calibri" w:eastAsia="Calibri" w:hAnsi="Calibri"/>
          <w:b w:val="false"/>
          <w:bCs w:val="false"/>
          <w:i w:val="false"/>
          <w:iCs w:val="false"/>
          <w:sz w:val="22"/>
          <w:szCs w:val="22"/>
        </w:rPr>
        <w:t xml:space="preserve">a. Welke offerte is voor Karel (negen jaar tot pensionering) vermoedelijk gunstiger, en waarom is het verschil bij hem beperkt?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offerte is voor Yasmin (veertig jaar tot pensionering) vermoedelijk gunstiger, en waarom is het verschil bij haar groot?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zeg je tegen Ferdi, die alleen naar de poliskosten kijkt en Offerte B voordeliger vindt?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Het TER-verschil (0,50 procentpunt) werkt door over het opgebouwde vermogen, maar Karel heeft nog maar negen jaar te gaan — de cumulatieve impact is beperkt vergeleken met iemand die decennia te gaan heeft. Bij hem wegen de poliskosten relatief zwaarder mee.</w:t>
      </w:r>
    </w:p>
    <w:p>
      <w:pPr>
        <w:spacing w:after="140" w:line="300"/>
      </w:pPr>
      <w:r>
        <w:rPr>
          <w:rFonts w:ascii="Calibri" w:cs="Calibri" w:eastAsia="Calibri" w:hAnsi="Calibri"/>
          <w:b w:val="false"/>
          <w:bCs w:val="false"/>
          <w:i w:val="false"/>
          <w:iCs w:val="false"/>
          <w:sz w:val="22"/>
          <w:szCs w:val="22"/>
        </w:rPr>
        <w:t xml:space="preserve">b. Bij Yasmin werkt het TER-verschil veertig jaar door over een groeiend vermogen — dat tikt cumulatief fors aan, veel meer dan het verschil in poliskosten van € 25 per jaar.</w:t>
      </w:r>
    </w:p>
    <w:p>
      <w:pPr>
        <w:spacing w:after="140" w:line="300"/>
      </w:pPr>
      <w:r>
        <w:rPr>
          <w:rFonts w:ascii="Calibri" w:cs="Calibri" w:eastAsia="Calibri" w:hAnsi="Calibri"/>
          <w:b w:val="false"/>
          <w:bCs w:val="false"/>
          <w:i w:val="false"/>
          <w:iCs w:val="false"/>
          <w:sz w:val="22"/>
          <w:szCs w:val="22"/>
        </w:rPr>
        <w:t xml:space="preserve">c. Leg uit dat € 25 per jaar aan poliskosten verwaarloosbaar is vergeleken met een structureel hoger percentage over het hele belegde vermogen, zeker voor de jongere medewerkers. Reken het voor met een concreet bedrag over dertig jaar in plaats van met percentages — exact de vaardigheid uit deel 11.</w:t>
      </w:r>
    </w:p>
    <w:p>
      <w:pPr>
        <w:spacing w:after="100"/>
      </w:pPr>
    </w:p>
    <w:p>
      <w:pPr>
        <w:pStyle w:val="Heading2"/>
        <w:spacing w:after="120" w:before="200"/>
      </w:pPr>
      <w:r>
        <w:rPr>
          <w:rFonts w:ascii="Georgia" w:cs="Georgia" w:eastAsia="Georgia" w:hAnsi="Georgia"/>
          <w:b/>
          <w:bCs/>
          <w:color w:val="2563A8"/>
          <w:sz w:val="28"/>
          <w:szCs w:val="28"/>
        </w:rPr>
        <w:t xml:space="preserve">Opdracht 12.5 — Garantie of niet</w:t>
      </w:r>
    </w:p>
    <w:p>
      <w:pPr>
        <w:spacing w:after="140" w:line="300"/>
      </w:pPr>
      <w:r>
        <w:rPr>
          <w:rFonts w:ascii="Calibri" w:cs="Calibri" w:eastAsia="Calibri" w:hAnsi="Calibri"/>
          <w:b w:val="false"/>
          <w:bCs w:val="false"/>
          <w:i w:val="false"/>
          <w:iCs w:val="false"/>
          <w:sz w:val="22"/>
          <w:szCs w:val="22"/>
        </w:rPr>
        <w:t xml:space="preserve">Beoordeel per situatie of een garantiecontract passend is.</w:t>
      </w:r>
    </w:p>
    <w:p>
      <w:pPr>
        <w:spacing w:after="140" w:line="300"/>
      </w:pPr>
      <w:r>
        <w:rPr>
          <w:rFonts w:ascii="Calibri" w:cs="Calibri" w:eastAsia="Calibri" w:hAnsi="Calibri"/>
          <w:b w:val="false"/>
          <w:bCs w:val="false"/>
          <w:i w:val="false"/>
          <w:iCs w:val="false"/>
          <w:sz w:val="22"/>
          <w:szCs w:val="22"/>
        </w:rPr>
        <w:t xml:space="preserve">a. Bpf T&amp;I-achtig bestand: groot, gemengd, met collectieve risicodeling al ingebouwd via de solidariteitsreserve (deel 3).</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bedrijf met vijf medewerkers, allen boven de 55, geen opvolging van jongere instroom voorzien.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Van Doorn Techniek, gemengd bestand met Karel en Yasmin als uitersten.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Niet van toepassing in deze vorm — dit is een fondsproduct met eigen collectieve dempingsmechanismen, geen individueel garantiecontract van een verzekeraar.</w:t>
      </w:r>
    </w:p>
    <w:p>
      <w:pPr>
        <w:spacing w:after="140" w:line="300"/>
      </w:pPr>
      <w:r>
        <w:rPr>
          <w:rFonts w:ascii="Calibri" w:cs="Calibri" w:eastAsia="Calibri" w:hAnsi="Calibri"/>
          <w:b w:val="false"/>
          <w:bCs w:val="false"/>
          <w:i w:val="false"/>
          <w:iCs w:val="false"/>
          <w:sz w:val="22"/>
          <w:szCs w:val="22"/>
        </w:rPr>
        <w:t xml:space="preserve">b. Een garantiecontract kan hier passend zijn: klein bestand, hoge gemiddelde leeftijd, weinig tijd om tegenvallers op te vangen, en geen instroom die op termijn voor spreiding zorgt.</w:t>
      </w:r>
    </w:p>
    <w:p>
      <w:pPr>
        <w:spacing w:after="140" w:line="300"/>
      </w:pPr>
      <w:r>
        <w:rPr>
          <w:rFonts w:ascii="Calibri" w:cs="Calibri" w:eastAsia="Calibri" w:hAnsi="Calibri"/>
          <w:b w:val="false"/>
          <w:bCs w:val="false"/>
          <w:i w:val="false"/>
          <w:iCs w:val="false"/>
          <w:sz w:val="22"/>
          <w:szCs w:val="22"/>
        </w:rPr>
        <w:t xml:space="preserve">c. Een individueel garantiecontract voor het hele bestand is waarschijnlijk niet optimaal — het kost rendement voor Yasmin en de jongere medewerkers zonder dat zij de zekerheid nu nodig hebben. Beter: lifecycle zonder generieke garantie, met de mogelijkheid voor individuele deelnemers dicht bij hun pensioendatum om voor een defensiever profiel te kiezen. Dit is een advies dat maatwerk op individueel niveau zoekt in plaats van één uniforme oplossing voor een divers bestand.</w:t>
      </w:r>
    </w:p>
    <w:p>
      <w:pPr>
        <w:spacing w:after="100"/>
      </w:pPr>
    </w:p>
    <w:p>
      <w:pPr>
        <w:pStyle w:val="Heading2"/>
        <w:spacing w:after="120" w:before="200"/>
      </w:pPr>
      <w:r>
        <w:rPr>
          <w:rFonts w:ascii="Georgia" w:cs="Georgia" w:eastAsia="Georgia" w:hAnsi="Georgia"/>
          <w:b/>
          <w:bCs/>
          <w:color w:val="2563A8"/>
          <w:sz w:val="28"/>
          <w:szCs w:val="28"/>
        </w:rPr>
        <w:t xml:space="preserve">Opdracht 12.6 — PPI of verzekeraar</w:t>
      </w:r>
    </w:p>
    <w:p>
      <w:pPr>
        <w:spacing w:after="140" w:line="300"/>
      </w:pPr>
      <w:r>
        <w:rPr>
          <w:rFonts w:ascii="Calibri" w:cs="Calibri" w:eastAsia="Calibri" w:hAnsi="Calibri"/>
          <w:b w:val="false"/>
          <w:bCs w:val="false"/>
          <w:i w:val="false"/>
          <w:iCs w:val="false"/>
          <w:sz w:val="22"/>
          <w:szCs w:val="22"/>
        </w:rPr>
        <w:t xml:space="preserve">Voor elk kenmerk: is dit een reden om voor een PPI te kiezen, voor een verzekeraar, of maakt het niet uit?</w:t>
      </w:r>
    </w:p>
    <w:p>
      <w:pPr>
        <w:spacing w:after="140" w:line="300"/>
      </w:pPr>
      <w:r>
        <w:rPr>
          <w:rFonts w:ascii="Calibri" w:cs="Calibri" w:eastAsia="Calibri" w:hAnsi="Calibri"/>
          <w:b w:val="false"/>
          <w:bCs w:val="false"/>
          <w:i w:val="false"/>
          <w:iCs w:val="false"/>
          <w:sz w:val="22"/>
          <w:szCs w:val="22"/>
        </w:rPr>
        <w:t xml:space="preserve">a. De werkgever wil per se een gegarandeerd minimumkapitaal.</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 werkgever wil de laagst mogelijke kosten en heeft geen behoefte aan garanties.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De werkgever wil risicodekkingen en beleggingsproduct in één overzichtelijk contract.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De werkgever wil op de pensioendatum shoprecht voor zijn deelnemers.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verzekeraar — een PPI mag geen garantie bieden. b: vaak PPI, vanwege de doorgaans transparantere en lagere kostenstructuur, maar controleer per aanbieder. c: kan bij beide, maar bij een PPI zijn de risicodekkingen herverzekerd en dus een aparte laag — bij een verzekeraar vaak directer geïntegreerd. d: maakt niet uit voor het antwoord “ja” — zowel bij een PPI als bij een niet-gegarandeerd verzekeraarsproduct is er een kapitaal om mee te shoppen. Alleen bij een premie-uitkeringsovereenkomst (uitsluitend bij verzekeraars) is er geen shoprecht, omdat er geen kapitaal is.</w:t>
            </w:r>
          </w:p>
        </w:tc>
      </w:tr>
    </w:tbl>
    <w:p>
      <w:pPr>
        <w:spacing w:after="100"/>
      </w:pPr>
    </w:p>
    <w:p>
      <w:pPr>
        <w:pStyle w:val="Heading2"/>
        <w:spacing w:after="120" w:before="200"/>
      </w:pPr>
      <w:r>
        <w:rPr>
          <w:rFonts w:ascii="Georgia" w:cs="Georgia" w:eastAsia="Georgia" w:hAnsi="Georgia"/>
          <w:b/>
          <w:bCs/>
          <w:color w:val="2563A8"/>
          <w:sz w:val="28"/>
          <w:szCs w:val="28"/>
        </w:rPr>
        <w:t xml:space="preserve">Opdracht 12.7 — Offertevergelijking met de achtpuntenlijst</w:t>
      </w:r>
    </w:p>
    <w:p>
      <w:pPr>
        <w:spacing w:after="140" w:line="300"/>
      </w:pPr>
      <w:r>
        <w:rPr>
          <w:rFonts w:ascii="Calibri" w:cs="Calibri" w:eastAsia="Calibri" w:hAnsi="Calibri"/>
          <w:b w:val="false"/>
          <w:bCs w:val="false"/>
          <w:i w:val="false"/>
          <w:iCs w:val="false"/>
          <w:sz w:val="22"/>
          <w:szCs w:val="22"/>
        </w:rPr>
        <w:t xml:space="preserve">Gebruik de acht punten uit paragraaf 12.9 om de twee offertes uit opdracht 12.4 volledig te vergelijken (vul aan met fictieve maar plausibele waarden voor de punten die nog niet zijn gegeven) en formuleer een aanbeveling voor Van Doorn Techniek in maximaal tien zinnen.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uniek modelantwoord. Beoordelingscriteria: alle acht punten expliciet langsgelopen, niet alleen premie en kosten; de aanbeveling houdt rekening met het gemengde bestand (niet één uniforme keuze zonder onderbouwing); en punt 8 (contractvoorwaarden) is niet overgeslagen — een sterk antwoord verwijst terug naar de opzegtermijn en achterblijfregels uit deel 2 en deel 5.</w:t>
            </w:r>
          </w:p>
        </w:tc>
      </w:tr>
    </w:tbl>
    <w:p>
      <w:pPr>
        <w:spacing w:after="100"/>
      </w:pPr>
    </w:p>
    <w:p>
      <w:pPr>
        <w:pStyle w:val="Heading2"/>
        <w:spacing w:after="120" w:before="200"/>
      </w:pPr>
      <w:r>
        <w:rPr>
          <w:rFonts w:ascii="Georgia" w:cs="Georgia" w:eastAsia="Georgia" w:hAnsi="Georgia"/>
          <w:b/>
          <w:bCs/>
          <w:color w:val="2563A8"/>
          <w:sz w:val="28"/>
          <w:szCs w:val="28"/>
        </w:rPr>
        <w:t xml:space="preserve">Opdracht 12.8 — Vergeten bij de transitie</w:t>
      </w:r>
    </w:p>
    <w:p>
      <w:pPr>
        <w:spacing w:after="140" w:line="300"/>
      </w:pPr>
      <w:r>
        <w:rPr>
          <w:rFonts w:ascii="Calibri" w:cs="Calibri" w:eastAsia="Calibri" w:hAnsi="Calibri"/>
          <w:b w:val="false"/>
          <w:bCs w:val="false"/>
          <w:i w:val="false"/>
          <w:iCs w:val="false"/>
          <w:sz w:val="22"/>
          <w:szCs w:val="22"/>
        </w:rPr>
        <w:t xml:space="preserve">Van Doorn zet zijn nieuwe regeling per 1 januari 2027 op. Een deelnemer die in de oude regeling bewust voor een defensief profiel had gekozen omdat hij over vijf jaar met vervroegd pensioen wil, wordt in de nieuwe regeling automatisch in het standaardprofiel (neutraal) geplaatst.</w:t>
      </w:r>
    </w:p>
    <w:p>
      <w:pPr>
        <w:spacing w:after="140" w:line="300"/>
      </w:pPr>
      <w:r>
        <w:rPr>
          <w:rFonts w:ascii="Calibri" w:cs="Calibri" w:eastAsia="Calibri" w:hAnsi="Calibri"/>
          <w:b w:val="false"/>
          <w:bCs w:val="false"/>
          <w:i w:val="false"/>
          <w:iCs w:val="false"/>
          <w:sz w:val="22"/>
          <w:szCs w:val="22"/>
        </w:rPr>
        <w:t xml:space="preserve">a. Wat is hier misgegaan?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had dit voorkomen?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is de eerste actie die je nu onderneemt?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Bij de omzetting is de individuele profielkeuze niet meegenomen; de deelnemer is teruggevallen op het standaardprofiel van de nieuwe regeling, terwijl zijn situatie (vervroegde pensionering over vijf jaar) juist om een defensiever profiel vraagt.</w:t>
      </w:r>
    </w:p>
    <w:p>
      <w:pPr>
        <w:spacing w:after="140" w:line="300"/>
      </w:pPr>
      <w:r>
        <w:rPr>
          <w:rFonts w:ascii="Calibri" w:cs="Calibri" w:eastAsia="Calibri" w:hAnsi="Calibri"/>
          <w:b w:val="false"/>
          <w:bCs w:val="false"/>
          <w:i w:val="false"/>
          <w:iCs w:val="false"/>
          <w:sz w:val="22"/>
          <w:szCs w:val="22"/>
        </w:rPr>
        <w:t xml:space="preserve">b. Een expliciete controle in het implementatieplan (deel 15) op bestaande individuele lifecycle-keuzes, met een instructie aan de uitvoerder om die over te nemen of de deelnemer actief te bevragen vóór de omzetting.</w:t>
      </w:r>
    </w:p>
    <w:p>
      <w:pPr>
        <w:spacing w:after="140" w:line="300"/>
      </w:pPr>
      <w:r>
        <w:rPr>
          <w:rFonts w:ascii="Calibri" w:cs="Calibri" w:eastAsia="Calibri" w:hAnsi="Calibri"/>
          <w:b w:val="false"/>
          <w:bCs w:val="false"/>
          <w:i w:val="false"/>
          <w:iCs w:val="false"/>
          <w:sz w:val="22"/>
          <w:szCs w:val="22"/>
        </w:rPr>
        <w:t xml:space="preserve">c. Direct contact met de uitvoerder om het profiel te herstellen, en na te gaan of er in de tussenliggende periode al een feitelijke herbalancering heeft plaatsgevonden die schade heeft veroorzaakt. Dit is een operationeel incident dat in deel 19 verder wordt behandeld, maar dat hier al aantoont waarom lifecycle-continuïteit een expliciet punt moet zijn bij elke transitie.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2026-08-17T11:22:44.773Z</dcterms:created>
  <dcterms:modified xsi:type="dcterms:W3CDTF">2026-08-17T11:22:44.773Z</dcterms:modified>
</cp:coreProperties>
</file>

<file path=docProps/custom.xml><?xml version="1.0" encoding="utf-8"?>
<Properties xmlns="http://schemas.openxmlformats.org/officeDocument/2006/custom-properties" xmlns:vt="http://schemas.openxmlformats.org/officeDocument/2006/docPropsVTypes"/>
</file>