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13 — Docentenhandleiding</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13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Dit dagdeel sluit de opbouw-tot-uitkering-lijn die in deel 11 en 12 is ingezet. Twee dingen moeten landen:</w:t>
      </w:r>
    </w:p>
    <w:p>
      <w:pPr>
        <w:pStyle w:val="ListParagraph"/>
        <w:numPr>
          <w:ilvl w:val="0"/>
          <w:numId w:val="1"/>
        </w:numPr>
        <w:spacing w:after="80"/>
      </w:pPr>
      <w:r>
        <w:rPr>
          <w:rFonts w:ascii="Calibri" w:cs="Calibri" w:eastAsia="Calibri" w:hAnsi="Calibri"/>
          <w:sz w:val="22"/>
          <w:szCs w:val="22"/>
        </w:rPr>
        <w:t xml:space="preserve">1. Vast en variabel zijn geen kwaliteitsoordeel maar een risicoverdeling. Er is geen “betere” optie in absolute zin, alleen een optie die beter past bij de situatie van de deelnemer.</w:t>
      </w:r>
    </w:p>
    <w:p>
      <w:pPr>
        <w:pStyle w:val="ListParagraph"/>
        <w:numPr>
          <w:ilvl w:val="0"/>
          <w:numId w:val="1"/>
        </w:numPr>
        <w:spacing w:after="80"/>
      </w:pPr>
      <w:r>
        <w:rPr>
          <w:rFonts w:ascii="Calibri" w:cs="Calibri" w:eastAsia="Calibri" w:hAnsi="Calibri"/>
          <w:sz w:val="22"/>
          <w:szCs w:val="22"/>
        </w:rPr>
        <w:t xml:space="preserve">2. Een hoog projectierendement is geen cadeau. Dit is het subtielste punt van het dagdeel en verdient de meeste tijd.</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12, het kantelpunt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Vaste uitkering, opdracht 13.1 en 13.2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0:30–0:55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Variabele uitkering en acceptatiegraad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0:55–1:10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Collectief versus individueel, opdracht 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en duo’s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1:30–1:50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standaardoptie, opdracht 13.3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1:50–2:20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projectierendement, opdracht 13.4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Drietallen, kern van het dagdeel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Shoprecht, opdracht 13.6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Advies voor Karel, opdracht 13.7 en 13.8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en nabespreking</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kantelpunt.</w:t>
      </w:r>
      <w:r>
        <w:rPr>
          <w:rFonts w:ascii="Calibri" w:cs="Calibri" w:eastAsia="Calibri" w:hAnsi="Calibri"/>
          <w:b w:val="false"/>
          <w:bCs w:val="false"/>
          <w:i w:val="false"/>
          <w:iCs w:val="false"/>
          <w:sz w:val="22"/>
          <w:szCs w:val="22"/>
        </w:rPr>
        <w:t xml:space="preserve"> Open met de constatering dat alles tot nu toe (deel 11 en 12) over opbouw ging, en dat hier de knop omgaat: van premie naar uitkering. Dat helpt deelnemers het dagdeel als een apart, samenhangend geheel te zien.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Vaste uitkering.</w:t>
      </w:r>
      <w:r>
        <w:rPr>
          <w:rFonts w:ascii="Calibri" w:cs="Calibri" w:eastAsia="Calibri" w:hAnsi="Calibri"/>
          <w:b w:val="false"/>
          <w:bCs w:val="false"/>
          <w:i w:val="false"/>
          <w:iCs w:val="false"/>
          <w:sz w:val="22"/>
          <w:szCs w:val="22"/>
        </w:rPr>
        <w:t xml:space="preserve"> Bij opdracht 13.2: laat de groep het woord “onomkeerbaar” zelf gebruiken voordat jij het doet — het sluit direct aan bij de tabel uit deel 9. Benoem expliciet dat de lifecycle-renteafbouw uit deel 12 dit risico dempt, niet elimineert; dat onderscheid wordt vaak vergeten en creëert een vals gevoel van bescherming.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Variabele uitkering en acceptatiegraad.</w:t>
      </w:r>
      <w:r>
        <w:rPr>
          <w:rFonts w:ascii="Calibri" w:cs="Calibri" w:eastAsia="Calibri" w:hAnsi="Calibri"/>
          <w:b w:val="false"/>
          <w:bCs w:val="false"/>
          <w:i w:val="false"/>
          <w:iCs w:val="false"/>
          <w:sz w:val="22"/>
          <w:szCs w:val="22"/>
        </w:rPr>
        <w:t xml:space="preserve"> Het cijfer dat minder dan 5% van de deelnemers voor variabel kiest, is een goed gespreksopener: vraag de zaal waarom, vóórdat je het cijfer zelf toelicht. De meeste groepen komen zelf op het antwoord: mensen willen zekerheid over hun maandelijkse besteedbaar inkomen, ook als variabel gemiddeld beter uitpakt. Dit is een mooi voorbeeld van risicohouding die het verwachte rendement overstijgt — een thema dat in deel 18 (zorgplicht) terugkeert.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Collectief versus individueel.</w:t>
      </w:r>
      <w:r>
        <w:rPr>
          <w:rFonts w:ascii="Calibri" w:cs="Calibri" w:eastAsia="Calibri" w:hAnsi="Calibri"/>
          <w:b w:val="false"/>
          <w:bCs w:val="false"/>
          <w:i w:val="false"/>
          <w:iCs w:val="false"/>
          <w:sz w:val="22"/>
          <w:szCs w:val="22"/>
        </w:rPr>
        <w:t xml:space="preserve"> Kort houden — vijftien tot twintig minuten. Het belangrijkste punt: leg de parallel met de solidaire premieregeling uit deel 3 opnieuw, zodat deelnemers zien dat dezelfde spanning (individueel eigen resultaat versus collectieve demping) door de hele levenscyclus van de regeling loopt, niet alleen in de opbouwfase.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standaardoptie.</w:t>
      </w:r>
      <w:r>
        <w:rPr>
          <w:rFonts w:ascii="Calibri" w:cs="Calibri" w:eastAsia="Calibri" w:hAnsi="Calibri"/>
          <w:b w:val="false"/>
          <w:bCs w:val="false"/>
          <w:i w:val="false"/>
          <w:iCs w:val="false"/>
          <w:sz w:val="22"/>
          <w:szCs w:val="22"/>
        </w:rPr>
        <w:t xml:space="preserve"> Herhaal de default-logica uit deel 12 expliciet: de meerderheid kiest niet actief, dus de default bepaalt het lot van de meesten. Dit tweede voorbeeld van dezelfde logica versterkt het inzicht in plaats van het te herhalen als nieuwe informatie.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projectierendement — kern van het dagdeel.</w:t>
      </w:r>
      <w:r>
        <w:rPr>
          <w:rFonts w:ascii="Calibri" w:cs="Calibri" w:eastAsia="Calibri" w:hAnsi="Calibri"/>
          <w:b w:val="false"/>
          <w:bCs w:val="false"/>
          <w:i w:val="false"/>
          <w:iCs w:val="false"/>
          <w:sz w:val="22"/>
          <w:szCs w:val="22"/>
        </w:rPr>
        <w:t xml:space="preserve"> Neem hier ruim de tijd, minstens dertig minuten, en werk opdracht 13.4 klassikaal voor voordat de drietallen zelfstandig verdergaan.</w:t>
      </w:r>
    </w:p>
    <w:p>
      <w:pPr>
        <w:spacing w:after="140" w:line="300"/>
      </w:pPr>
      <w:r>
        <w:rPr>
          <w:rFonts w:ascii="Calibri" w:cs="Calibri" w:eastAsia="Calibri" w:hAnsi="Calibri"/>
          <w:b w:val="false"/>
          <w:bCs w:val="false"/>
          <w:i w:val="false"/>
          <w:iCs w:val="false"/>
          <w:sz w:val="22"/>
          <w:szCs w:val="22"/>
        </w:rPr>
        <w:t xml:space="preserve">De kern in één zin, groot op de flap:</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Een hoger projectierendement betekent een hogere start én een grotere kans op een latere daling.</w:t>
            </w:r>
          </w:p>
        </w:tc>
      </w:tr>
    </w:tbl>
    <w:p>
      <w:pPr>
        <w:spacing w:after="140" w:line="300"/>
      </w:pPr>
      <w:r>
        <w:rPr>
          <w:rFonts w:ascii="Calibri" w:cs="Calibri" w:eastAsia="Calibri" w:hAnsi="Calibri"/>
          <w:b w:val="false"/>
          <w:bCs w:val="false"/>
          <w:i w:val="false"/>
          <w:iCs w:val="false"/>
          <w:sz w:val="22"/>
          <w:szCs w:val="22"/>
        </w:rPr>
        <w:t xml:space="preserve">Dit is contra-intuïtief: veel deelnemers — en veel gepensioneerden in de praktijk — zien alleen het eerste, hogere getal en concluderen “dit is de betere offerte”. Laat de groep dit mechanisme in eigen woorden navertellen aan een fictieve gepensioneerde voordat je verdergaat; als ze het kunnen navertellen zonder jargon, is het geland.</w:t>
      </w:r>
    </w:p>
    <w:p>
      <w:pPr>
        <w:spacing w:after="140" w:line="300"/>
      </w:pPr>
      <w:r>
        <w:rPr>
          <w:rFonts w:ascii="Calibri" w:cs="Calibri" w:eastAsia="Calibri" w:hAnsi="Calibri"/>
          <w:b w:val="false"/>
          <w:bCs w:val="false"/>
          <w:i w:val="false"/>
          <w:iCs w:val="false"/>
          <w:sz w:val="22"/>
          <w:szCs w:val="22"/>
        </w:rPr>
        <w:t xml:space="preserve">Waarschuw ook voor de omgekeerde denkfout: een laag projectierendement is niet per se “beter” — het geeft een lagere start in ruil voor meer kans op stijging. Het gaat niet om hoog-versus-laag als kwaliteitsoordeel, maar om het effect begrijpen en bewust kiezen.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Shoprecht.</w:t>
      </w:r>
      <w:r>
        <w:rPr>
          <w:rFonts w:ascii="Calibri" w:cs="Calibri" w:eastAsia="Calibri" w:hAnsi="Calibri"/>
          <w:b w:val="false"/>
          <w:bCs w:val="false"/>
          <w:i w:val="false"/>
          <w:iCs w:val="false"/>
          <w:sz w:val="22"/>
          <w:szCs w:val="22"/>
        </w:rPr>
        <w:t xml:space="preserve"> Snel gaan hier — het is grotendeels herhaling met een nieuwe toepassing (deel 3 en deel 9 kwamen dit al tegen). Bevestig vooral casus c (fondsen, beperkt shoprecht) als iets om per geval te controleren, niet aan te nemen.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Advies voor Karel (13.7 en 13.8).</w:t>
      </w:r>
      <w:r>
        <w:rPr>
          <w:rFonts w:ascii="Calibri" w:cs="Calibri" w:eastAsia="Calibri" w:hAnsi="Calibri"/>
          <w:b w:val="false"/>
          <w:bCs w:val="false"/>
          <w:i w:val="false"/>
          <w:iCs w:val="false"/>
          <w:sz w:val="22"/>
          <w:szCs w:val="22"/>
        </w:rPr>
        <w:t xml:space="preserve"> Laat 13.7 individueel maken en 13.8 in tweetallen bespreken. Sluit het dagdeel af met een korte plenaire ronde waarin een paar deelnemers hun samenhangverhaal (13.8) voorlezen — dit is de beste graadmeter of de verbinding tussen de delen 8, 9, 12 en 13 daadwerkelijk is gelegd.</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“Kan een deelnemer later alsnog wisselen van vast naar variabel?”</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Nee, niet nadat de vaste uitkering is ingegaan — dat is precies het onomkeerbare karakter. Van variabel naar vast kan bij sommige uitvoerders wel, onder voorwaarden; controleer dit per contract en waarschuw dat dit geen automatisme is.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“Waarom zou een fonds het shoprecht beperken?”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Vaak samenhangend met de collectieve uitvoering en de manier waarop de solidariteits- of risicodelingsreserve is ingericht — die reserve is gebouwd op een blijvende, gezamenlijke groep gepensioneerden. Een grote uitstroom via shoppen zou die opzet ondermijnen. Dit is een vakinhoudelijk detail; verwijs bij verdieping naar niveau 3.</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projectierendement hetzelfde als de TER uit deel 12?”</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Nee — de TER is een kostenpercentage tijdens de opbouwfase; het projectierendement is een verwacht rendement waarmee de eerste variabele uitkering wordt berekend, in de uitkeringsfase. Twee verschillende begrippen die toevallig allebei met een percentage werken.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de wettelijke bovengrens voor het projectierendement een vast getal?”</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Nee, deze wordt periodiek vastgesteld door de daarvoor aangewezen partijen en kan wijzigen. Behandel het genoemde percentage als een op dit moment geldend uitgangspunt, niet als een permanent gegeven, en controleer de actuele stand bij een concreet advies.</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De kernzin over het projectierendement groot op de flap</w:t>
      </w:r>
    </w:p>
    <w:p>
      <w:pPr>
        <w:pStyle w:val="ListParagraph"/>
        <w:numPr>
          <w:ilvl w:val="0"/>
          <w:numId w:val="1"/>
        </w:numPr>
        <w:spacing w:after="80"/>
      </w:pPr>
      <w:r>
        <w:rPr>
          <w:rFonts w:ascii="Calibri" w:cs="Calibri" w:eastAsia="Calibri" w:hAnsi="Calibri"/>
          <w:sz w:val="22"/>
          <w:szCs w:val="22"/>
        </w:rPr>
        <w:t xml:space="preserve">Twee fictieve offertes voor opdracht 13.4 met verschillende projectierendementen, uitgewerkt tot een concreet startbedrag</w:t>
      </w:r>
    </w:p>
    <w:p>
      <w:pPr>
        <w:pStyle w:val="ListParagraph"/>
        <w:numPr>
          <w:ilvl w:val="0"/>
          <w:numId w:val="1"/>
        </w:numPr>
        <w:spacing w:after="80"/>
      </w:pPr>
      <w:r>
        <w:rPr>
          <w:rFonts w:ascii="Calibri" w:cs="Calibri" w:eastAsia="Calibri" w:hAnsi="Calibri"/>
          <w:sz w:val="22"/>
          <w:szCs w:val="22"/>
        </w:rPr>
        <w:t xml:space="preserve">Actuele stand van de wettelijke bovengrens voor het projectierendement gecontroleerd</w:t>
      </w:r>
    </w:p>
    <w:p>
      <w:pPr>
        <w:pStyle w:val="ListParagraph"/>
        <w:numPr>
          <w:ilvl w:val="0"/>
          <w:numId w:val="1"/>
        </w:numPr>
        <w:spacing w:after="80"/>
      </w:pPr>
      <w:r>
        <w:rPr>
          <w:rFonts w:ascii="Calibri" w:cs="Calibri" w:eastAsia="Calibri" w:hAnsi="Calibri"/>
          <w:sz w:val="22"/>
          <w:szCs w:val="22"/>
        </w:rPr>
        <w:t xml:space="preserve">Het afwegingskader uit paragraaf 13.9 uitgeprint, één per deelnemer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geen apart huiswerk; opdracht 13.8 is de afronding. Kondig deel 14 aan: terug naar het begin van het contract — het offerte-, acceptatie- en contractproces, met de stappen die bij Van Doorn Techniek nooit mogen worden overgeslagen.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2026-08-17T11:22:44.963Z</dcterms:created>
  <dcterms:modified xsi:type="dcterms:W3CDTF">2026-08-17T11:22:44.963Z</dcterms:modified>
</cp:coreProperties>
</file>

<file path=docProps/custom.xml><?xml version="1.0" encoding="utf-8"?>
<Properties xmlns="http://schemas.openxmlformats.org/officeDocument/2006/custom-properties" xmlns:vt="http://schemas.openxmlformats.org/officeDocument/2006/docPropsVTypes"/>
</file>