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13 — De uitkeringsfase</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13 — De uitkeringsfase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13.1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verschil tussen een vaste en een variabele uitkering uitleggen, inclusief wie het risico draagt;</w:t>
      </w:r>
    </w:p>
    <w:p>
      <w:pPr>
        <w:pStyle w:val="ListParagraph"/>
        <w:numPr>
          <w:ilvl w:val="0"/>
          <w:numId w:val="1"/>
        </w:numPr>
        <w:spacing w:after="80"/>
      </w:pPr>
      <w:r>
        <w:rPr>
          <w:rFonts w:ascii="Calibri" w:cs="Calibri" w:eastAsia="Calibri" w:hAnsi="Calibri"/>
          <w:sz w:val="22"/>
          <w:szCs w:val="22"/>
        </w:rPr>
        <w:t xml:space="preserve">2. het projectierendement plaatsen: wat het is, waarom het bestaat, en waarom een hoog projectierendement niet zonder meer gunstig is;</w:t>
      </w:r>
    </w:p>
    <w:p>
      <w:pPr>
        <w:pStyle w:val="ListParagraph"/>
        <w:numPr>
          <w:ilvl w:val="0"/>
          <w:numId w:val="1"/>
        </w:numPr>
        <w:spacing w:after="80"/>
      </w:pPr>
      <w:r>
        <w:rPr>
          <w:rFonts w:ascii="Calibri" w:cs="Calibri" w:eastAsia="Calibri" w:hAnsi="Calibri"/>
          <w:sz w:val="22"/>
          <w:szCs w:val="22"/>
        </w:rPr>
        <w:t xml:space="preserve">3. het shoprecht correct toepassen, inclusief de uitzonderingen;</w:t>
      </w:r>
    </w:p>
    <w:p>
      <w:pPr>
        <w:pStyle w:val="ListParagraph"/>
        <w:numPr>
          <w:ilvl w:val="0"/>
          <w:numId w:val="1"/>
        </w:numPr>
        <w:spacing w:after="80"/>
      </w:pPr>
      <w:r>
        <w:rPr>
          <w:rFonts w:ascii="Calibri" w:cs="Calibri" w:eastAsia="Calibri" w:hAnsi="Calibri"/>
          <w:sz w:val="22"/>
          <w:szCs w:val="22"/>
        </w:rPr>
        <w:t xml:space="preserve">4. de standaardoptie en de rol van sociale partners of werkgever daarbij beschrijven;</w:t>
      </w:r>
    </w:p>
    <w:p>
      <w:pPr>
        <w:pStyle w:val="ListParagraph"/>
        <w:numPr>
          <w:ilvl w:val="0"/>
          <w:numId w:val="1"/>
        </w:numPr>
        <w:spacing w:after="80"/>
      </w:pPr>
      <w:r>
        <w:rPr>
          <w:rFonts w:ascii="Calibri" w:cs="Calibri" w:eastAsia="Calibri" w:hAnsi="Calibri"/>
          <w:sz w:val="22"/>
          <w:szCs w:val="22"/>
        </w:rPr>
        <w:t xml:space="preserve">5. de collectieve en individuele variant van doorbeleggen onderscheiden;</w:t>
      </w:r>
    </w:p>
    <w:p>
      <w:pPr>
        <w:pStyle w:val="ListParagraph"/>
        <w:numPr>
          <w:ilvl w:val="0"/>
          <w:numId w:val="1"/>
        </w:numPr>
        <w:spacing w:after="80"/>
      </w:pPr>
      <w:r>
        <w:rPr>
          <w:rFonts w:ascii="Calibri" w:cs="Calibri" w:eastAsia="Calibri" w:hAnsi="Calibri"/>
          <w:sz w:val="22"/>
          <w:szCs w:val="22"/>
        </w:rPr>
        <w:t xml:space="preserve">6. een deelnemer op de pensioendatum adviseren over vast of variabel, passend bij diens situatie.</w:t>
      </w:r>
    </w:p>
    <w:p>
      <w:pPr>
        <w:spacing w:after="100"/>
      </w:pPr>
    </w:p>
    <w:p>
      <w:pPr>
        <w:pStyle w:val="Heading2"/>
        <w:spacing w:after="120" w:before="200"/>
      </w:pPr>
      <w:r>
        <w:rPr>
          <w:rFonts w:ascii="Georgia" w:cs="Georgia" w:eastAsia="Georgia" w:hAnsi="Georgia"/>
          <w:b/>
          <w:bCs/>
          <w:color w:val="2563A8"/>
          <w:sz w:val="28"/>
          <w:szCs w:val="28"/>
        </w:rPr>
        <w:t xml:space="preserve">13.2 Het kantelpunt van de pensioendatum</w:t>
      </w:r>
    </w:p>
    <w:p>
      <w:pPr>
        <w:spacing w:after="140" w:line="300"/>
      </w:pPr>
      <w:r>
        <w:rPr>
          <w:rFonts w:ascii="Calibri" w:cs="Calibri" w:eastAsia="Calibri" w:hAnsi="Calibri"/>
          <w:b w:val="false"/>
          <w:bCs w:val="false"/>
          <w:i w:val="false"/>
          <w:iCs w:val="false"/>
          <w:sz w:val="22"/>
          <w:szCs w:val="22"/>
        </w:rPr>
        <w:t xml:space="preserve">Tot de pensioendatum ging het in deel 12 over opbouw: premie in, kapitaal groeit, lifecycle bouwt risico af. Op de pensioendatum kantelt het: het opgebouwde kapitaal moet worden omgezet in een periodieke uitkering, of — dat is de nieuwe keuze sinds de Wet verbeterde premieregeling — blijft voor een deel belegd.</w:t>
      </w:r>
    </w:p>
    <w:p>
      <w:pPr>
        <w:spacing w:after="140" w:line="300"/>
      </w:pPr>
      <w:r>
        <w:rPr>
          <w:rFonts w:ascii="Calibri" w:cs="Calibri" w:eastAsia="Calibri" w:hAnsi="Calibri"/>
          <w:b w:val="false"/>
          <w:bCs w:val="false"/>
          <w:i w:val="false"/>
          <w:iCs w:val="false"/>
          <w:sz w:val="22"/>
          <w:szCs w:val="22"/>
        </w:rPr>
        <w:t xml:space="preserve">Sinds 1 september 2016 hoeft het opgebouwde kapitaal niet meer in zijn geheel op de pensioendatum te worden omgezet in een vaste uitkering; een deelnemer kan ook kiezen voor </w:t>
      </w:r>
      <w:r>
        <w:rPr>
          <w:rFonts w:ascii="Calibri" w:cs="Calibri" w:eastAsia="Calibri" w:hAnsi="Calibri"/>
          <w:b/>
          <w:bCs/>
          <w:i w:val="false"/>
          <w:iCs w:val="false"/>
          <w:sz w:val="22"/>
          <w:szCs w:val="22"/>
        </w:rPr>
        <w:t xml:space="preserve">doorbeleggen</w:t>
      </w:r>
      <w:r>
        <w:rPr>
          <w:rFonts w:ascii="Calibri" w:cs="Calibri" w:eastAsia="Calibri" w:hAnsi="Calibri"/>
          <w:b w:val="false"/>
          <w:bCs w:val="false"/>
          <w:i w:val="false"/>
          <w:iCs w:val="false"/>
          <w:sz w:val="22"/>
          <w:szCs w:val="22"/>
        </w:rPr>
        <w:t xml:space="preserve"> met een deel of het geheel van zijn kapitaal. Deze keuze — vast of variabel — is een van de belangrijkste keuzemomenten uit de tabel in deel 9, en verdient hier een volledige behandeling.</w:t>
      </w:r>
    </w:p>
    <w:p>
      <w:pPr>
        <w:spacing w:after="100"/>
      </w:pPr>
    </w:p>
    <w:p>
      <w:pPr>
        <w:pStyle w:val="Heading2"/>
        <w:spacing w:after="120" w:before="200"/>
      </w:pPr>
      <w:r>
        <w:rPr>
          <w:rFonts w:ascii="Georgia" w:cs="Georgia" w:eastAsia="Georgia" w:hAnsi="Georgia"/>
          <w:b/>
          <w:bCs/>
          <w:color w:val="2563A8"/>
          <w:sz w:val="28"/>
          <w:szCs w:val="28"/>
        </w:rPr>
        <w:t xml:space="preserve">13.3 Vaste uitkering</w:t>
      </w:r>
    </w:p>
    <w:p>
      <w:pPr>
        <w:spacing w:after="140" w:line="300"/>
      </w:pPr>
      <w:r>
        <w:rPr>
          <w:rFonts w:ascii="Calibri" w:cs="Calibri" w:eastAsia="Calibri" w:hAnsi="Calibri"/>
          <w:b w:val="false"/>
          <w:bCs w:val="false"/>
          <w:i w:val="false"/>
          <w:iCs w:val="false"/>
          <w:sz w:val="22"/>
          <w:szCs w:val="22"/>
        </w:rPr>
        <w:t xml:space="preserve">Bij een vaste uitkering wordt op de pensioendatum het volledige kapitaal omgezet in een levenslange, gelijkblijvende uitkering. De pensioenuitvoerder neemt vanaf dat moment het beleggings-, langleven- en kostenrisico over; de deelnemer weet vanaf dag één precies welk bedrag hij levenslang ontvangt.</w:t>
      </w:r>
    </w:p>
    <w:p>
      <w:pPr>
        <w:spacing w:after="140" w:line="300"/>
      </w:pPr>
      <w:r>
        <w:rPr>
          <w:rFonts w:ascii="Calibri" w:cs="Calibri" w:eastAsia="Calibri" w:hAnsi="Calibri"/>
          <w:b w:val="false"/>
          <w:bCs w:val="false"/>
          <w:i w:val="false"/>
          <w:iCs w:val="false"/>
          <w:sz w:val="22"/>
          <w:szCs w:val="22"/>
        </w:rPr>
        <w:t xml:space="preserve">De hoogte hangt af van drie factoren op het inkoopmoment: het beschikbare kapitaal, de rentestand, en de levensverwachting. Dat laatste is waarom een vaste uitkering </w:t>
      </w:r>
      <w:r>
        <w:rPr>
          <w:rFonts w:ascii="Calibri" w:cs="Calibri" w:eastAsia="Calibri" w:hAnsi="Calibri"/>
          <w:b/>
          <w:bCs/>
          <w:i w:val="false"/>
          <w:iCs w:val="false"/>
          <w:sz w:val="22"/>
          <w:szCs w:val="22"/>
        </w:rPr>
        <w:t xml:space="preserve">eenmalig</w:t>
      </w:r>
      <w:r>
        <w:rPr>
          <w:rFonts w:ascii="Calibri" w:cs="Calibri" w:eastAsia="Calibri" w:hAnsi="Calibri"/>
          <w:b w:val="false"/>
          <w:bCs w:val="false"/>
          <w:i w:val="false"/>
          <w:iCs w:val="false"/>
          <w:sz w:val="22"/>
          <w:szCs w:val="22"/>
        </w:rPr>
        <w:t xml:space="preserve"> wordt vastgesteld en daarna niet meer beweegt: het inkooprisico wordt op één moment afgekocht.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nadeel dat vaak wordt onderschat.</w:t>
      </w:r>
      <w:r>
        <w:rPr>
          <w:rFonts w:ascii="Calibri" w:cs="Calibri" w:eastAsia="Calibri" w:hAnsi="Calibri"/>
          <w:b w:val="false"/>
          <w:bCs w:val="false"/>
          <w:i w:val="false"/>
          <w:iCs w:val="false"/>
          <w:sz w:val="22"/>
          <w:szCs w:val="22"/>
        </w:rPr>
        <w:t xml:space="preserve"> Een deelnemer die precies op een moment van historisch lage rente met pensioen gaat, koopt tegen een ongunstige koers in — en dat is voor de rest van zijn leven zo. Er is geen herstelmogelijkheid. Dit is exact het rentedeel van het renterisico dat de lifecycle in de laatste jaren voor de pensioendatum probeert te dempen (deel 12) — maar dempen is iets anders dan elimineren.</w:t>
      </w:r>
    </w:p>
    <w:p>
      <w:pPr>
        <w:spacing w:after="100"/>
      </w:pPr>
    </w:p>
    <w:p>
      <w:pPr>
        <w:pStyle w:val="Heading2"/>
        <w:spacing w:after="120" w:before="200"/>
      </w:pPr>
      <w:r>
        <w:rPr>
          <w:rFonts w:ascii="Georgia" w:cs="Georgia" w:eastAsia="Georgia" w:hAnsi="Georgia"/>
          <w:b/>
          <w:bCs/>
          <w:color w:val="2563A8"/>
          <w:sz w:val="28"/>
          <w:szCs w:val="28"/>
        </w:rPr>
        <w:t xml:space="preserve">13.4 Variabele uitkering</w:t>
      </w:r>
    </w:p>
    <w:p>
      <w:pPr>
        <w:spacing w:after="140" w:line="300"/>
      </w:pPr>
      <w:r>
        <w:rPr>
          <w:rFonts w:ascii="Calibri" w:cs="Calibri" w:eastAsia="Calibri" w:hAnsi="Calibri"/>
          <w:b w:val="false"/>
          <w:bCs w:val="false"/>
          <w:i w:val="false"/>
          <w:iCs w:val="false"/>
          <w:sz w:val="22"/>
          <w:szCs w:val="22"/>
        </w:rPr>
        <w:t xml:space="preserve">Bij een variabele uitkering wordt het kapitaal na de pensioendatum </w:t>
      </w:r>
      <w:r>
        <w:rPr>
          <w:rFonts w:ascii="Calibri" w:cs="Calibri" w:eastAsia="Calibri" w:hAnsi="Calibri"/>
          <w:b/>
          <w:bCs/>
          <w:i w:val="false"/>
          <w:iCs w:val="false"/>
          <w:sz w:val="22"/>
          <w:szCs w:val="22"/>
        </w:rPr>
        <w:t xml:space="preserve">doorbelegd</w:t>
      </w:r>
      <w:r>
        <w:rPr>
          <w:rFonts w:ascii="Calibri" w:cs="Calibri" w:eastAsia="Calibri" w:hAnsi="Calibri"/>
          <w:b w:val="false"/>
          <w:bCs w:val="false"/>
          <w:i w:val="false"/>
          <w:iCs w:val="false"/>
          <w:sz w:val="22"/>
          <w:szCs w:val="22"/>
        </w:rPr>
        <w:t xml:space="preserve">. De uitkering wordt jaarlijks herzien op basis van het behaalde rendement, de renteontwikkeling en de werkelijke sterfte binnen de groep. &lt;cite index=“72-1”&gt;De uitkering beweegt mee: omhoog bij positieve resultaten, omlaag bij negatieve.&lt;/cite&gt; Het beleggingsrisico ligt dus bij de gepensioneerde zelf, niet bij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deelnemers hiervoor zouden kiezen.</w:t>
      </w:r>
      <w:r>
        <w:rPr>
          <w:rFonts w:ascii="Calibri" w:cs="Calibri" w:eastAsia="Calibri" w:hAnsi="Calibri"/>
          <w:b w:val="false"/>
          <w:bCs w:val="false"/>
          <w:i w:val="false"/>
          <w:iCs w:val="false"/>
          <w:sz w:val="22"/>
          <w:szCs w:val="22"/>
        </w:rPr>
        <w:t xml:space="preserve"> &lt;cite index=“73-1”&gt;Doorbeleggen leidt naar verwachting tot een hoger pensioenresultaat, en maakt het pensioen minder afhankelijk van de rentestand op precies één moment.&lt;/cite&gt; Wie niet alles op één moment hoeft in te kopen, spreidt het renterisico over meerdere jaren in plaats van het op één dag te concentreren.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Spreiding van tegenvallers.</w:t>
      </w:r>
      <w:r>
        <w:rPr>
          <w:rFonts w:ascii="Calibri" w:cs="Calibri" w:eastAsia="Calibri" w:hAnsi="Calibri"/>
          <w:b w:val="false"/>
          <w:bCs w:val="false"/>
          <w:i w:val="false"/>
          <w:iCs w:val="false"/>
          <w:sz w:val="22"/>
          <w:szCs w:val="22"/>
        </w:rPr>
        <w:t xml:space="preserve"> &lt;cite index=“73-1”&gt;Tegenvallers kunnen in de tijd worden gespreid over een periode van maximaal tien jaar&lt;/cite&gt;, zodat een slecht beleggingsjaar niet in één keer volledig doorwerkt in de uitkering van dat jaar.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kiest dit in de praktijk?</w:t>
      </w:r>
      <w:r>
        <w:rPr>
          <w:rFonts w:ascii="Calibri" w:cs="Calibri" w:eastAsia="Calibri" w:hAnsi="Calibri"/>
          <w:b w:val="false"/>
          <w:bCs w:val="false"/>
          <w:i w:val="false"/>
          <w:iCs w:val="false"/>
          <w:sz w:val="22"/>
          <w:szCs w:val="22"/>
        </w:rPr>
        <w:t xml:space="preserve"> &lt;cite index=“79-1”&gt;Uit navraag bij pensioenuitvoerders kiest minder dan 5% van de deelnemers bij pensionering voor een variabele uitkering.&lt;/cite&gt; Dat is een opvallend lage acceptatie voor een optie die naar verwachting een hoger pensioen oplevert, en het zegt iets over de risicohouding van gepensioneerden: zekerheid over het maandelijkse bedrag weegt voor de meesten zwaarder dan een hoger verwacht gemiddelde.</w:t>
      </w:r>
    </w:p>
    <w:p>
      <w:pPr>
        <w:spacing w:after="100"/>
      </w:pPr>
    </w:p>
    <w:p>
      <w:pPr>
        <w:pStyle w:val="Heading2"/>
        <w:spacing w:after="120" w:before="200"/>
      </w:pPr>
      <w:r>
        <w:rPr>
          <w:rFonts w:ascii="Georgia" w:cs="Georgia" w:eastAsia="Georgia" w:hAnsi="Georgia"/>
          <w:b/>
          <w:bCs/>
          <w:color w:val="2563A8"/>
          <w:sz w:val="28"/>
          <w:szCs w:val="28"/>
        </w:rPr>
        <w:t xml:space="preserve">13.5 Individueel of collectief doorbeleggen</w:t>
      </w:r>
    </w:p>
    <w:p>
      <w:pPr>
        <w:spacing w:after="140" w:line="300"/>
      </w:pPr>
      <w:r>
        <w:rPr>
          <w:rFonts w:ascii="Calibri" w:cs="Calibri" w:eastAsia="Calibri" w:hAnsi="Calibri"/>
          <w:b w:val="false"/>
          <w:bCs w:val="false"/>
          <w:i w:val="false"/>
          <w:iCs w:val="false"/>
          <w:sz w:val="22"/>
          <w:szCs w:val="22"/>
        </w:rPr>
        <w:t xml:space="preserve">&lt;cite index=“75-1”&gt;Doorbeleggen kan individueel of collectief. Bij collectief doorbeleggen treedt de deelnemer op de pensioendatum toe tot een collectieve toedelingskring.&lt;/cite&gt; Binnen die kring wordt het risico gedeeld via mechanismen die vergelijkbaar zijn met de solidariteits- of risicodelingsreserve uit de opbouwfase (deel 3): &lt;cite index=“78-1”&gt;dalingen kunnen mede worden opgevangen via zo’n reserve, in plaats van dat elke individuele deelnemer zijn eigen schommeling volledig zelf draagt.&lt;/cite&gt;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Bij de solidaire premieregeling</w:t>
      </w:r>
      <w:r>
        <w:rPr>
          <w:rFonts w:ascii="Calibri" w:cs="Calibri" w:eastAsia="Calibri" w:hAnsi="Calibri"/>
          <w:b w:val="false"/>
          <w:bCs w:val="false"/>
          <w:i w:val="false"/>
          <w:iCs w:val="false"/>
          <w:sz w:val="22"/>
          <w:szCs w:val="22"/>
        </w:rPr>
        <w:t xml:space="preserve"> (uitsluitend bij fondsen) is er voor de deelnemer geen keuze: &lt;cite index=“79-1”&gt;in deze vorm is de uitkering altijd variabel, met collectief doorbeleggen en een eigen rendementstoedeling voor de groep gepensioneerden.&lt;/cite&gt;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Bij de flexibele premieregeling</w:t>
      </w:r>
      <w:r>
        <w:rPr>
          <w:rFonts w:ascii="Calibri" w:cs="Calibri" w:eastAsia="Calibri" w:hAnsi="Calibri"/>
          <w:b w:val="false"/>
          <w:bCs w:val="false"/>
          <w:i w:val="false"/>
          <w:iCs w:val="false"/>
          <w:sz w:val="22"/>
          <w:szCs w:val="22"/>
        </w:rPr>
        <w:t xml:space="preserve"> (verzekeraars, PPI’s, sommige fondsen) hebben deelnemers wél de keuze tussen vast en variabel, en kan variabel zowel individueel als — indien aangeboden — collectief worden vormgegeven.</w:t>
      </w:r>
    </w:p>
    <w:p>
      <w:pPr>
        <w:spacing w:after="140" w:line="300"/>
      </w:pPr>
      <w:r>
        <w:rPr>
          <w:rFonts w:ascii="Calibri" w:cs="Calibri" w:eastAsia="Calibri" w:hAnsi="Calibri"/>
          <w:b w:val="false"/>
          <w:bCs w:val="false"/>
          <w:i w:val="false"/>
          <w:iCs w:val="false"/>
          <w:sz w:val="22"/>
          <w:szCs w:val="22"/>
        </w:rPr>
        <w:t xml:space="preserve">Dit is een direct gevolg van het onderscheid dat je in deel 3 leerde: de twee premieregelingsvormen verschillen niet alleen in de opbouwfase, maar lopen door tot in de uitkeringsfase.</w:t>
      </w:r>
    </w:p>
    <w:p>
      <w:pPr>
        <w:spacing w:after="100"/>
      </w:pPr>
    </w:p>
    <w:p>
      <w:pPr>
        <w:pStyle w:val="Heading2"/>
        <w:spacing w:after="120" w:before="200"/>
      </w:pPr>
      <w:r>
        <w:rPr>
          <w:rFonts w:ascii="Georgia" w:cs="Georgia" w:eastAsia="Georgia" w:hAnsi="Georgia"/>
          <w:b/>
          <w:bCs/>
          <w:color w:val="2563A8"/>
          <w:sz w:val="28"/>
          <w:szCs w:val="28"/>
        </w:rPr>
        <w:t xml:space="preserve">13.6 De standaardoptie</w:t>
      </w:r>
    </w:p>
    <w:p>
      <w:pPr>
        <w:spacing w:after="140" w:line="300"/>
      </w:pPr>
      <w:r>
        <w:rPr>
          <w:rFonts w:ascii="Calibri" w:cs="Calibri" w:eastAsia="Calibri" w:hAnsi="Calibri"/>
          <w:b w:val="false"/>
          <w:bCs w:val="false"/>
          <w:i w:val="false"/>
          <w:iCs w:val="false"/>
          <w:sz w:val="22"/>
          <w:szCs w:val="22"/>
        </w:rPr>
        <w:t xml:space="preserve">&lt;cite index=“74-1”&gt;Bij het bieden van de keuze tussen vast en variabel moeten pensioenuitvoerders deelnemers relevante informatie geven over de gevolgen en risico’s van beide opties.&lt;/cite&gt; Wie kiest de standaardoptie (</w:t>
      </w:r>
      <w:r>
        <w:rPr>
          <w:rFonts w:ascii="Calibri" w:cs="Calibri" w:eastAsia="Calibri" w:hAnsi="Calibri"/>
          <w:b/>
          <w:bCs/>
          <w:i w:val="false"/>
          <w:iCs w:val="false"/>
          <w:sz w:val="22"/>
          <w:szCs w:val="22"/>
        </w:rPr>
        <w:t xml:space="preserve">default</w:t>
      </w:r>
      <w:r>
        <w:rPr>
          <w:rFonts w:ascii="Calibri" w:cs="Calibri" w:eastAsia="Calibri" w:hAnsi="Calibri"/>
          <w:b w:val="false"/>
          <w:bCs w:val="false"/>
          <w:i w:val="false"/>
          <w:iCs w:val="false"/>
          <w:sz w:val="22"/>
          <w:szCs w:val="22"/>
        </w:rPr>
        <w:t xml:space="preserve">) die geldt als de deelnemer zelf niets kiest?</w:t>
      </w:r>
    </w:p>
    <w:p>
      <w:pPr>
        <w:spacing w:after="140" w:line="300"/>
      </w:pPr>
      <w:r>
        <w:rPr>
          <w:rFonts w:ascii="Calibri" w:cs="Calibri" w:eastAsia="Calibri" w:hAnsi="Calibri"/>
          <w:b w:val="false"/>
          <w:bCs w:val="false"/>
          <w:i w:val="false"/>
          <w:iCs w:val="false"/>
          <w:sz w:val="22"/>
          <w:szCs w:val="22"/>
        </w:rPr>
        <w:t xml:space="preserve">&lt;cite index=“75-1”&gt;Bij de flexibele premieregeling bepalen sociale partners — of, bij een verzekerde regeling, de werkgever met de werknemersvertegenwoordiging — de standaardoptie, en die moet aansluiten bij de risicohouding van de deelnemersgroep.&lt;/cite&gt;</w:t>
      </w:r>
    </w:p>
    <w:p>
      <w:pPr>
        <w:spacing w:after="140" w:line="300"/>
      </w:pPr>
      <w:r>
        <w:rPr>
          <w:rFonts w:ascii="Calibri" w:cs="Calibri" w:eastAsia="Calibri" w:hAnsi="Calibri"/>
          <w:b w:val="false"/>
          <w:bCs w:val="false"/>
          <w:i w:val="false"/>
          <w:iCs w:val="false"/>
          <w:sz w:val="22"/>
          <w:szCs w:val="22"/>
        </w:rPr>
        <w:t xml:space="preserve">Dit is dezelfde logica als het standaardprofiel bij lifecycle-beleggen in deel 12: de meeste deelnemers kiezen niet actief, dus de default bepaalt in de praktijk het lot van de meerderheid. Voor een sector met een risicomijdende, weinig vermogende deelnemersgroep ligt een vaste uitkering als default voor de hand; voor een sector met financieel zelfredzame deelnemers kan variabel met individuele opt-out passender zijn.</w:t>
      </w:r>
    </w:p>
    <w:p>
      <w:pPr>
        <w:spacing w:after="100"/>
      </w:pPr>
    </w:p>
    <w:p>
      <w:pPr>
        <w:pStyle w:val="Heading2"/>
        <w:spacing w:after="120" w:before="200"/>
      </w:pPr>
      <w:r>
        <w:rPr>
          <w:rFonts w:ascii="Georgia" w:cs="Georgia" w:eastAsia="Georgia" w:hAnsi="Georgia"/>
          <w:b/>
          <w:bCs/>
          <w:color w:val="2563A8"/>
          <w:sz w:val="28"/>
          <w:szCs w:val="28"/>
        </w:rPr>
        <w:t xml:space="preserve">13.7 Het projectierendement</w:t>
      </w:r>
    </w:p>
    <w:p>
      <w:pPr>
        <w:spacing w:after="140" w:line="300"/>
      </w:pPr>
      <w:r>
        <w:rPr>
          <w:rFonts w:ascii="Calibri" w:cs="Calibri" w:eastAsia="Calibri" w:hAnsi="Calibri"/>
          <w:b w:val="false"/>
          <w:bCs w:val="false"/>
          <w:i w:val="false"/>
          <w:iCs w:val="false"/>
          <w:sz w:val="22"/>
          <w:szCs w:val="22"/>
        </w:rPr>
        <w:t xml:space="preserve">Bij een variabele uitkering moet op het moment van vaststelling een verwacht toekomstig rendement worden ingerekend om de eerste uitkering te kunnen berekenen — anders is er geen startbedrag. Dat verwachte rendement heet het </w:t>
      </w:r>
      <w:r>
        <w:rPr>
          <w:rFonts w:ascii="Calibri" w:cs="Calibri" w:eastAsia="Calibri" w:hAnsi="Calibri"/>
          <w:b/>
          <w:bCs/>
          <w:i w:val="false"/>
          <w:iCs w:val="false"/>
          <w:sz w:val="22"/>
          <w:szCs w:val="22"/>
        </w:rPr>
        <w:t xml:space="preserve">projectierendement</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mechaniek.</w:t>
      </w:r>
      <w:r>
        <w:rPr>
          <w:rFonts w:ascii="Calibri" w:cs="Calibri" w:eastAsia="Calibri" w:hAnsi="Calibri"/>
          <w:b w:val="false"/>
          <w:bCs w:val="false"/>
          <w:i w:val="false"/>
          <w:iCs w:val="false"/>
          <w:sz w:val="22"/>
          <w:szCs w:val="22"/>
        </w:rPr>
        <w:t xml:space="preserve"> &lt;cite index=“80-1”&gt;Het projectierendement moet prudent zijn: er mag niet meer worden ingerekend dan de maximale verwachtingswaarden die door de daarvoor aangewezen partijen zijn vastgesteld — voor zakelijke waarden gold een maximum in de orde van 5,6%.&lt;/cite&gt; Er geldt dus een wettelijk plafond, geen vrije keuze van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een hoog projectierendement niet zonder meer gunstig is.</w:t>
      </w:r>
      <w:r>
        <w:rPr>
          <w:rFonts w:ascii="Calibri" w:cs="Calibri" w:eastAsia="Calibri" w:hAnsi="Calibri"/>
          <w:b w:val="false"/>
          <w:bCs w:val="false"/>
          <w:i w:val="false"/>
          <w:iCs w:val="false"/>
          <w:sz w:val="22"/>
          <w:szCs w:val="22"/>
        </w:rPr>
        <w:t xml:space="preserve"> Dit is de subtielste en belangrijkste les van dit deel. &lt;cite index=“79-1”&gt;Een hoog projectierendement legt de lat hoog: het toekomstige daadwerkelijke rendement moet dat hoge niveau eerst waarmaken voordat de uitkering kan meestijgen — bijvoorbeeld met de inflatie.&lt;/cite&gt; Met andere woorden: een hoger projectierendement betekent een </w:t>
      </w:r>
      <w:r>
        <w:rPr>
          <w:rFonts w:ascii="Calibri" w:cs="Calibri" w:eastAsia="Calibri" w:hAnsi="Calibri"/>
          <w:b/>
          <w:bCs/>
          <w:i w:val="false"/>
          <w:iCs w:val="false"/>
          <w:sz w:val="22"/>
          <w:szCs w:val="22"/>
        </w:rPr>
        <w:t xml:space="preserve">hogere eerste uitkering</w:t>
      </w:r>
      <w:r>
        <w:rPr>
          <w:rFonts w:ascii="Calibri" w:cs="Calibri" w:eastAsia="Calibri" w:hAnsi="Calibri"/>
          <w:b w:val="false"/>
          <w:bCs w:val="false"/>
          <w:i w:val="false"/>
          <w:iCs w:val="false"/>
          <w:sz w:val="22"/>
          <w:szCs w:val="22"/>
        </w:rPr>
        <w:t xml:space="preserve">, maar tegelijk een </w:t>
      </w:r>
      <w:r>
        <w:rPr>
          <w:rFonts w:ascii="Calibri" w:cs="Calibri" w:eastAsia="Calibri" w:hAnsi="Calibri"/>
          <w:b/>
          <w:bCs/>
          <w:i w:val="false"/>
          <w:iCs w:val="false"/>
          <w:sz w:val="22"/>
          <w:szCs w:val="22"/>
        </w:rPr>
        <w:t xml:space="preserve">grotere kans op latere verlagingen</w:t>
      </w:r>
      <w:r>
        <w:rPr>
          <w:rFonts w:ascii="Calibri" w:cs="Calibri" w:eastAsia="Calibri" w:hAnsi="Calibri"/>
          <w:b w:val="false"/>
          <w:bCs w:val="false"/>
          <w:i w:val="false"/>
          <w:iCs w:val="false"/>
          <w:sz w:val="22"/>
          <w:szCs w:val="22"/>
        </w:rPr>
        <w:t xml:space="preserve"> als het werkelijke rendement achterblijft.</w:t>
      </w:r>
    </w:p>
    <w:p>
      <w:pPr>
        <w:spacing w:after="140" w:line="300"/>
      </w:pPr>
      <w:r>
        <w:rPr>
          <w:rFonts w:ascii="Calibri" w:cs="Calibri" w:eastAsia="Calibri" w:hAnsi="Calibri"/>
          <w:b w:val="false"/>
          <w:bCs w:val="false"/>
          <w:i w:val="false"/>
          <w:iCs w:val="false"/>
          <w:sz w:val="22"/>
          <w:szCs w:val="22"/>
        </w:rPr>
        <w:t xml:space="preserve">Dit mechanisme wordt in de communicatie naar deelnemers vaak niet goed uitgelegd, en het is precies waarom &lt;cite index=“79-1”&gt;de combinatie van een laag pensioenvermogen met een hoog projectierendement extra communicatie-aandacht vereist&lt;/cite&gt; — een deelnemer die op basis van een optimistisch ingerekend rendement een hoge eerste uitkering krijgt voorgespiegeld, moet evengoed weten dat die uitkering kan dalen.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vaste daling als variant.</w:t>
      </w:r>
      <w:r>
        <w:rPr>
          <w:rFonts w:ascii="Calibri" w:cs="Calibri" w:eastAsia="Calibri" w:hAnsi="Calibri"/>
          <w:b w:val="false"/>
          <w:bCs w:val="false"/>
          <w:i w:val="false"/>
          <w:iCs w:val="false"/>
          <w:sz w:val="22"/>
          <w:szCs w:val="22"/>
        </w:rPr>
        <w:t xml:space="preserve"> &lt;cite index=“80-1”&gt;Naast het projectierendement kan er worden gerekend met een ingebouwde vaste daling in de uitkering&lt;/cite&gt; — een manier om de eerste uitkering hoger te laten uitvallen door bewust een neerwaartse correctie in te bouwen die vooraf bekend is, in plaats van een onvoorziene daling achteraf.</w:t>
      </w:r>
    </w:p>
    <w:p>
      <w:pPr>
        <w:spacing w:after="100"/>
      </w:pPr>
    </w:p>
    <w:p>
      <w:pPr>
        <w:pStyle w:val="Heading2"/>
        <w:spacing w:after="120" w:before="200"/>
      </w:pPr>
      <w:r>
        <w:rPr>
          <w:rFonts w:ascii="Georgia" w:cs="Georgia" w:eastAsia="Georgia" w:hAnsi="Georgia"/>
          <w:b/>
          <w:bCs/>
          <w:color w:val="2563A8"/>
          <w:sz w:val="28"/>
          <w:szCs w:val="28"/>
        </w:rPr>
        <w:t xml:space="preserve">13.8 Shoprecht</w:t>
      </w:r>
    </w:p>
    <w:p>
      <w:pPr>
        <w:spacing w:after="140" w:line="300"/>
      </w:pPr>
      <w:r>
        <w:rPr>
          <w:rFonts w:ascii="Calibri" w:cs="Calibri" w:eastAsia="Calibri" w:hAnsi="Calibri"/>
          <w:b w:val="false"/>
          <w:bCs w:val="false"/>
          <w:i w:val="false"/>
          <w:iCs w:val="false"/>
          <w:sz w:val="22"/>
          <w:szCs w:val="22"/>
        </w:rPr>
        <w:t xml:space="preserve">Het shoprecht is het recht van de deelnemer om zijn opgebouwde kapitaal op de pensioendatum bij een andere aanbieder dan de huidige uitvoerder om te zetten in een uitkering, als die andere aanbieder een gunstigere voorwaarde biedt.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het bestaat.</w:t>
      </w:r>
      <w:r>
        <w:rPr>
          <w:rFonts w:ascii="Calibri" w:cs="Calibri" w:eastAsia="Calibri" w:hAnsi="Calibri"/>
          <w:b w:val="false"/>
          <w:bCs w:val="false"/>
          <w:i w:val="false"/>
          <w:iCs w:val="false"/>
          <w:sz w:val="22"/>
          <w:szCs w:val="22"/>
        </w:rPr>
        <w:t xml:space="preserve"> Verschillende aanbieders hanteren verschillende tarieven voor de inkoop van een levenslange uitkering. Het verschil kan, afhankelijk van de marktomstandigheden, oplopen tot een merkbaar bedrag. Zonder shoprecht zou een deelnemer gedwongen zijn bij zijn opbouwuitvoerder te blijven, ongeacht diens inkooptarief op dat specifieke moment.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voorwaarde: er moet een kapitaal zijn.</w:t>
      </w:r>
      <w:r>
        <w:rPr>
          <w:rFonts w:ascii="Calibri" w:cs="Calibri" w:eastAsia="Calibri" w:hAnsi="Calibri"/>
          <w:b w:val="false"/>
          <w:bCs w:val="false"/>
          <w:i w:val="false"/>
          <w:iCs w:val="false"/>
          <w:sz w:val="22"/>
          <w:szCs w:val="22"/>
        </w:rPr>
        <w:t xml:space="preserve"> Terugkijkend naar deel 3 en deel 9: bij een premie-uitkeringsovereenkomst zijn er tijdens de opbouwfase al aanspraken ingekocht bij de verzekeraar. Er is dan op de pensioendatum geen vrij kapitaal om mee te shoppen — het shoprecht bestaat feitelijk niet, ook al staat het niet met zoveel woorden uitgesloten in het reglement. Dit moet vóór de productkeuze duidelijk zijn, niet op de pensioendatum.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Beperkt shoprecht bij fondsen.</w:t>
      </w:r>
      <w:r>
        <w:rPr>
          <w:rFonts w:ascii="Calibri" w:cs="Calibri" w:eastAsia="Calibri" w:hAnsi="Calibri"/>
          <w:b w:val="false"/>
          <w:bCs w:val="false"/>
          <w:i w:val="false"/>
          <w:iCs w:val="false"/>
          <w:sz w:val="22"/>
          <w:szCs w:val="22"/>
        </w:rPr>
        <w:t xml:space="preserve"> &lt;cite index=“75-1”&gt;Bij de uitkeringsfase van de flexibele premieregeling hoort onder meer de vraag naar de standaardoptie en het (beperkte) shoprecht&lt;/cite&gt; — bij fondsen kan het shoprecht anders of beperkter zijn vormgegeven dan bij een verzekerde regeling; controleer dit per uitvoerder en regeling.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Praktisch.</w:t>
      </w:r>
      <w:r>
        <w:rPr>
          <w:rFonts w:ascii="Calibri" w:cs="Calibri" w:eastAsia="Calibri" w:hAnsi="Calibri"/>
          <w:b w:val="false"/>
          <w:bCs w:val="false"/>
          <w:i w:val="false"/>
          <w:iCs w:val="false"/>
          <w:sz w:val="22"/>
          <w:szCs w:val="22"/>
        </w:rPr>
        <w:t xml:space="preserve"> Shoppen kost tijd — een vergelijking tussen aanbieders, aanvraag, beoordeling — en moet daarom tijdig vóór de gewenste pensioendatum worden gestart. Wie er twee weken van tevoren aan begint, heeft in de praktijk geen keuze meer.</w:t>
      </w:r>
    </w:p>
    <w:p>
      <w:pPr>
        <w:spacing w:after="100"/>
      </w:pPr>
    </w:p>
    <w:p>
      <w:pPr>
        <w:pStyle w:val="Heading2"/>
        <w:spacing w:after="120" w:before="200"/>
      </w:pPr>
      <w:r>
        <w:rPr>
          <w:rFonts w:ascii="Georgia" w:cs="Georgia" w:eastAsia="Georgia" w:hAnsi="Georgia"/>
          <w:b/>
          <w:bCs/>
          <w:color w:val="2563A8"/>
          <w:sz w:val="28"/>
          <w:szCs w:val="28"/>
        </w:rPr>
        <w:t xml:space="preserve">13.9 Advies op de pensioendatum: een afwegingskader</w:t>
      </w:r>
    </w:p>
    <w:p>
      <w:pPr>
        <w:spacing w:after="140" w:line="300"/>
      </w:pPr>
      <w:r>
        <w:rPr>
          <w:rFonts w:ascii="Calibri" w:cs="Calibri" w:eastAsia="Calibri" w:hAnsi="Calibri"/>
          <w:b w:val="false"/>
          <w:bCs w:val="false"/>
          <w:i w:val="false"/>
          <w:iCs w:val="false"/>
          <w:sz w:val="22"/>
          <w:szCs w:val="22"/>
        </w:rPr>
        <w:t xml:space="preserve">Gebruik deze vragen bij een deelnemer die de keuze vast/variabel moet maken:</w:t>
      </w:r>
    </w:p>
    <w:p>
      <w:pPr>
        <w:pStyle w:val="ListParagraph"/>
        <w:numPr>
          <w:ilvl w:val="0"/>
          <w:numId w:val="1"/>
        </w:numPr>
        <w:spacing w:after="80"/>
      </w:pPr>
      <w:r>
        <w:rPr>
          <w:rFonts w:ascii="Calibri" w:cs="Calibri" w:eastAsia="Calibri" w:hAnsi="Calibri"/>
          <w:sz w:val="22"/>
          <w:szCs w:val="22"/>
        </w:rPr>
        <w:t xml:space="preserve">1. Hoe afhankelijk is hij van deze uitkering voor zijn vaste lasten? Hoe groter de afhankelijkheid, hoe zwaarder het argument voor een vaste uitkering weegt.</w:t>
      </w:r>
    </w:p>
    <w:p>
      <w:pPr>
        <w:pStyle w:val="ListParagraph"/>
        <w:numPr>
          <w:ilvl w:val="0"/>
          <w:numId w:val="1"/>
        </w:numPr>
        <w:spacing w:after="80"/>
      </w:pPr>
      <w:r>
        <w:rPr>
          <w:rFonts w:ascii="Calibri" w:cs="Calibri" w:eastAsia="Calibri" w:hAnsi="Calibri"/>
          <w:sz w:val="22"/>
          <w:szCs w:val="22"/>
        </w:rPr>
        <w:t xml:space="preserve">2. Heeft hij ander vermogen als buffer? Een eigen woning zonder hypotheek of aanvullend spaargeld verandert de risicocapaciteit.</w:t>
      </w:r>
    </w:p>
    <w:p>
      <w:pPr>
        <w:pStyle w:val="ListParagraph"/>
        <w:numPr>
          <w:ilvl w:val="0"/>
          <w:numId w:val="1"/>
        </w:numPr>
        <w:spacing w:after="80"/>
      </w:pPr>
      <w:r>
        <w:rPr>
          <w:rFonts w:ascii="Calibri" w:cs="Calibri" w:eastAsia="Calibri" w:hAnsi="Calibri"/>
          <w:sz w:val="22"/>
          <w:szCs w:val="22"/>
        </w:rPr>
        <w:t xml:space="preserve">3. Wat is zijn risicohouding, los van zijn risicocapaciteit? Deze twee vallen niet altijd samen — iemand kan financieel een tegenvaller aankunnen maar er slecht mee kunnen slapen.</w:t>
      </w:r>
    </w:p>
    <w:p>
      <w:pPr>
        <w:pStyle w:val="ListParagraph"/>
        <w:numPr>
          <w:ilvl w:val="0"/>
          <w:numId w:val="1"/>
        </w:numPr>
        <w:spacing w:after="80"/>
      </w:pPr>
      <w:r>
        <w:rPr>
          <w:rFonts w:ascii="Calibri" w:cs="Calibri" w:eastAsia="Calibri" w:hAnsi="Calibri"/>
          <w:sz w:val="22"/>
          <w:szCs w:val="22"/>
        </w:rPr>
        <w:t xml:space="preserve">4. Wordt hem een variabele uitkering met een hoog projectierendement voorgespiegeld? Zo ja: leg het risico van een latere verlaging expliciet uit, in euro’s, niet alleen in de kans-formulering.</w:t>
      </w:r>
    </w:p>
    <w:p>
      <w:pPr>
        <w:pStyle w:val="ListParagraph"/>
        <w:numPr>
          <w:ilvl w:val="0"/>
          <w:numId w:val="1"/>
        </w:numPr>
        <w:spacing w:after="80"/>
      </w:pPr>
      <w:r>
        <w:rPr>
          <w:rFonts w:ascii="Calibri" w:cs="Calibri" w:eastAsia="Calibri" w:hAnsi="Calibri"/>
          <w:sz w:val="22"/>
          <w:szCs w:val="22"/>
        </w:rPr>
        <w:t xml:space="preserve">5. Is er een partner die van deze uitkering meeprofiteert of ervan afhankelijk is? Terugkoppeling naar deel 8 en 9: de keuze voor uitruil naar partnerpensioen raakt deze vraag rechtstreeks.</w:t>
      </w:r>
    </w:p>
    <w:p>
      <w:pPr>
        <w:pStyle w:val="ListParagraph"/>
        <w:numPr>
          <w:ilvl w:val="0"/>
          <w:numId w:val="1"/>
        </w:numPr>
        <w:spacing w:after="80"/>
      </w:pPr>
      <w:r>
        <w:rPr>
          <w:rFonts w:ascii="Calibri" w:cs="Calibri" w:eastAsia="Calibri" w:hAnsi="Calibri"/>
          <w:sz w:val="22"/>
          <w:szCs w:val="22"/>
        </w:rPr>
        <w:t xml:space="preserve">6. Heeft hij shoprecht, en is dat op tijd in gang gezet?</w:t>
      </w:r>
    </w:p>
    <w:p>
      <w:pPr>
        <w:spacing w:after="140" w:line="300"/>
      </w:pPr>
      <w:r>
        <w:rPr>
          <w:rFonts w:ascii="Calibri" w:cs="Calibri" w:eastAsia="Calibri" w:hAnsi="Calibri"/>
          <w:b w:val="false"/>
          <w:bCs w:val="false"/>
          <w:i w:val="false"/>
          <w:iCs w:val="false"/>
          <w:sz w:val="22"/>
          <w:szCs w:val="22"/>
        </w:rPr>
        <w:t xml:space="preserve">Voor Karel Sanders (58, negen jaar tot pensionering, kostwinner) ligt een vaste uitkering, of hooguit een beperkt variabel deel, voor de hand — zijn afhankelijkheid van een voorspelbaar maandbedrag is hoog en zijn horizon om een tegenvaller op te vangen is kort. Voor Yasmin (26) is deze vraag nu nog niet aan de orde, maar het is relevant dat de default die vandaag voor de regeling wordt gekozen, over veertig jaar ook op haar van toepassing is.</w:t>
      </w:r>
    </w:p>
    <w:p>
      <w:pPr>
        <w:spacing w:after="100"/>
      </w:pPr>
    </w:p>
    <w:p>
      <w:pPr>
        <w:pStyle w:val="Heading2"/>
        <w:spacing w:after="120" w:before="200"/>
      </w:pPr>
      <w:r>
        <w:rPr>
          <w:rFonts w:ascii="Georgia" w:cs="Georgia" w:eastAsia="Georgia" w:hAnsi="Georgia"/>
          <w:b/>
          <w:bCs/>
          <w:color w:val="2563A8"/>
          <w:sz w:val="28"/>
          <w:szCs w:val="28"/>
        </w:rPr>
        <w:t xml:space="preserve">13.10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Vaste 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Eenmalige omzetting van kapitaal in een gelijkblijvende levenslange uitkering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Variabele 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Doorbeleggen na de pensioendatum; de uitkering beweegt mee met het resultaat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Doorbeleggen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beleggen van het pensioenvermogen na de pensioendatum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toedelingskring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gepensioneerden die gezamenlijk doorbelegt met gedeeld risico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Standaardoptie (default)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uitkeringsvorm die geldt als de deelnemer niet kiest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Projectierendement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Verwacht rendement waarmee de eerste variabele uitkering wordt berekend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Shoprecht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Recht om het kapitaal bij een andere aanbieder om te zetten in een uitkering</w:t>
            </w:r>
          </w:p>
        </w:tc>
      </w:tr>
    </w:tbl>
    <w:p>
      <w:pPr>
        <w:spacing w:after="100"/>
      </w:pPr>
    </w:p>
    <w:p>
      <w:pPr>
        <w:pStyle w:val="Heading2"/>
        <w:spacing w:after="120" w:before="200"/>
      </w:pPr>
      <w:r>
        <w:rPr>
          <w:rFonts w:ascii="Georgia" w:cs="Georgia" w:eastAsia="Georgia" w:hAnsi="Georgia"/>
          <w:b/>
          <w:bCs/>
          <w:color w:val="2563A8"/>
          <w:sz w:val="28"/>
          <w:szCs w:val="28"/>
        </w:rPr>
        <w:t xml:space="preserve">13.11 Samenvatting</w:t>
      </w:r>
    </w:p>
    <w:p>
      <w:pPr>
        <w:pStyle w:val="ListParagraph"/>
        <w:numPr>
          <w:ilvl w:val="0"/>
          <w:numId w:val="1"/>
        </w:numPr>
        <w:spacing w:after="80"/>
      </w:pPr>
      <w:r>
        <w:rPr>
          <w:rFonts w:ascii="Calibri" w:cs="Calibri" w:eastAsia="Calibri" w:hAnsi="Calibri"/>
          <w:sz w:val="22"/>
          <w:szCs w:val="22"/>
        </w:rPr>
        <w:t xml:space="preserve">Bij een vaste uitkering neemt de uitvoerder het beleggings-, langleven- en kostenrisico over; de hoogte staat op het inkoopmoment vast en beweegt daarna niet meer.</w:t>
      </w:r>
    </w:p>
    <w:p>
      <w:pPr>
        <w:pStyle w:val="ListParagraph"/>
        <w:numPr>
          <w:ilvl w:val="0"/>
          <w:numId w:val="1"/>
        </w:numPr>
        <w:spacing w:after="80"/>
      </w:pPr>
      <w:r>
        <w:rPr>
          <w:rFonts w:ascii="Calibri" w:cs="Calibri" w:eastAsia="Calibri" w:hAnsi="Calibri"/>
          <w:sz w:val="22"/>
          <w:szCs w:val="22"/>
        </w:rPr>
        <w:t xml:space="preserve">Bij een variabele uitkering wordt doorbelegd; de uitkering kan stijgen en dalen, met tegenvallers die over maximaal tien jaar gespreid kunnen worden.</w:t>
      </w:r>
    </w:p>
    <w:p>
      <w:pPr>
        <w:pStyle w:val="ListParagraph"/>
        <w:numPr>
          <w:ilvl w:val="0"/>
          <w:numId w:val="1"/>
        </w:numPr>
        <w:spacing w:after="80"/>
      </w:pPr>
      <w:r>
        <w:rPr>
          <w:rFonts w:ascii="Calibri" w:cs="Calibri" w:eastAsia="Calibri" w:hAnsi="Calibri"/>
          <w:sz w:val="22"/>
          <w:szCs w:val="22"/>
        </w:rPr>
        <w:t xml:space="preserve">In de solidaire premieregeling is de uitkering altijd variabel en collectief; in de flexibele premieregeling is er een keuze, met een door sociale partners of werkgever bepaalde default.</w:t>
      </w:r>
    </w:p>
    <w:p>
      <w:pPr>
        <w:pStyle w:val="ListParagraph"/>
        <w:numPr>
          <w:ilvl w:val="0"/>
          <w:numId w:val="1"/>
        </w:numPr>
        <w:spacing w:after="80"/>
      </w:pPr>
      <w:r>
        <w:rPr>
          <w:rFonts w:ascii="Calibri" w:cs="Calibri" w:eastAsia="Calibri" w:hAnsi="Calibri"/>
          <w:sz w:val="22"/>
          <w:szCs w:val="22"/>
        </w:rPr>
        <w:t xml:space="preserve">Het projectierendement bepaalt de eerste variabele uitkering; een hoog projectierendement betekent een hogere start maar een grotere kans op latere verlaging.</w:t>
      </w:r>
    </w:p>
    <w:p>
      <w:pPr>
        <w:pStyle w:val="ListParagraph"/>
        <w:numPr>
          <w:ilvl w:val="0"/>
          <w:numId w:val="1"/>
        </w:numPr>
        <w:spacing w:after="80"/>
      </w:pPr>
      <w:r>
        <w:rPr>
          <w:rFonts w:ascii="Calibri" w:cs="Calibri" w:eastAsia="Calibri" w:hAnsi="Calibri"/>
          <w:sz w:val="22"/>
          <w:szCs w:val="22"/>
        </w:rPr>
        <w:t xml:space="preserve">Shoprecht bestaat alleen als er een vrij kapitaal is — niet bij een premie-uitkeringsovereenkomst.</w:t>
      </w:r>
    </w:p>
    <w:p>
      <w:pPr>
        <w:pStyle w:val="ListParagraph"/>
        <w:numPr>
          <w:ilvl w:val="0"/>
          <w:numId w:val="1"/>
        </w:numPr>
        <w:spacing w:after="80"/>
      </w:pPr>
      <w:r>
        <w:rPr>
          <w:rFonts w:ascii="Calibri" w:cs="Calibri" w:eastAsia="Calibri" w:hAnsi="Calibri"/>
          <w:sz w:val="22"/>
          <w:szCs w:val="22"/>
        </w:rPr>
        <w:t xml:space="preserve">Advies op de pensioendatum draait om afhankelijkheid, buffer, risicohouding en tijdige actie.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14.</w:t>
      </w:r>
      <w:r>
        <w:rPr>
          <w:rFonts w:ascii="Calibri" w:cs="Calibri" w:eastAsia="Calibri" w:hAnsi="Calibri"/>
          <w:b w:val="false"/>
          <w:bCs w:val="false"/>
          <w:i w:val="false"/>
          <w:iCs w:val="false"/>
          <w:sz w:val="22"/>
          <w:szCs w:val="22"/>
        </w:rPr>
        <w:t xml:space="preserve"> Nu je de volledige levenscyclus van premie tot uitkering kent, gaan we terug naar het begin van het contract: het offerte-, acceptatie- en contractproces waarmee een werkgever een regeling daadwerkelijk bij een uitvoerder onderbrengt, en de stappen die daarbij nooit mogen worden overgeslagen.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2026-08-17T11:22:44.869Z</dcterms:created>
  <dcterms:modified xsi:type="dcterms:W3CDTF">2026-08-17T11:22:44.869Z</dcterms:modified>
</cp:coreProperties>
</file>

<file path=docProps/custom.xml><?xml version="1.0" encoding="utf-8"?>
<Properties xmlns="http://schemas.openxmlformats.org/officeDocument/2006/custom-properties" xmlns:vt="http://schemas.openxmlformats.org/officeDocument/2006/docPropsVTypes"/>
</file>