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13 — Werkboek</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13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13.1 — Vast of variabel: wie draagt wat</w:t>
      </w:r>
    </w:p>
    <w:p>
      <w:pPr>
        <w:spacing w:after="140" w:line="300"/>
      </w:pPr>
      <w:r>
        <w:rPr>
          <w:rFonts w:ascii="Calibri" w:cs="Calibri" w:eastAsia="Calibri" w:hAnsi="Calibri"/>
          <w:b w:val="false"/>
          <w:bCs w:val="false"/>
          <w:i w:val="false"/>
          <w:iCs w:val="false"/>
          <w:sz w:val="22"/>
          <w:szCs w:val="22"/>
        </w:rPr>
        <w:t xml:space="preserve">Vul de tabel in.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Vaste uitkering</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Variabele uitkering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Wie draagt het beleggingsrisico na pensionering?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Wanneer wordt de hoogte vastgesteld?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gebeurt er bij een rentedaling na de pensioendatum?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bl>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Beleggingsrisico: bij vast de uitvoerder, bij variabel de gepensioneerde zelf. Vaststelling: bij vast eenmalig op de pensioendatum, bij variabel jaarlijks herzien. Rentedaling na pensionering: bij vast geen effect meer — het risico is al op de pensioendatum afgekocht; bij variabel kan dit doorwerken in latere jaaruitkeringen, positief of negatief.</w:t>
            </w:r>
          </w:p>
        </w:tc>
      </w:tr>
    </w:tbl>
    <w:p>
      <w:pPr>
        <w:spacing w:after="100"/>
      </w:pPr>
    </w:p>
    <w:p>
      <w:pPr>
        <w:pStyle w:val="Heading2"/>
        <w:spacing w:after="120" w:before="200"/>
      </w:pPr>
      <w:r>
        <w:rPr>
          <w:rFonts w:ascii="Georgia" w:cs="Georgia" w:eastAsia="Georgia" w:hAnsi="Georgia"/>
          <w:b/>
          <w:bCs/>
          <w:color w:val="2563A8"/>
          <w:sz w:val="28"/>
          <w:szCs w:val="28"/>
        </w:rPr>
        <w:t xml:space="preserve">Opdracht 13.2 — Het onderschatte nadeel van vast</w:t>
      </w:r>
    </w:p>
    <w:p>
      <w:pPr>
        <w:spacing w:after="140" w:line="300"/>
      </w:pPr>
      <w:r>
        <w:rPr>
          <w:rFonts w:ascii="Calibri" w:cs="Calibri" w:eastAsia="Calibri" w:hAnsi="Calibri"/>
          <w:b w:val="false"/>
          <w:bCs w:val="false"/>
          <w:i w:val="false"/>
          <w:iCs w:val="false"/>
          <w:sz w:val="22"/>
          <w:szCs w:val="22"/>
        </w:rPr>
        <w:t xml:space="preserve">Twee collega’s gaan met pensioen: de een in een jaar met een hoge rentestand, de ander twee jaar later in een jaar met een historisch lage rentestand. Beiden kiezen een vaste uitkering met een vergelijkbaar kapitaal.</w:t>
      </w:r>
    </w:p>
    <w:p>
      <w:pPr>
        <w:spacing w:after="140" w:line="300"/>
      </w:pPr>
      <w:r>
        <w:rPr>
          <w:rFonts w:ascii="Calibri" w:cs="Calibri" w:eastAsia="Calibri" w:hAnsi="Calibri"/>
          <w:b w:val="false"/>
          <w:bCs w:val="false"/>
          <w:i w:val="false"/>
          <w:iCs w:val="false"/>
          <w:sz w:val="22"/>
          <w:szCs w:val="22"/>
        </w:rPr>
        <w:t xml:space="preserve">a. Wat is het gevolg voor beiden?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Is dit gevolg later nog te herstellen?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had de tweede collega kunnen overwegen om dit risico te beperken?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De collega die in het jaar met lage rente met pensioen gaat, koopt een lagere levenslange uitkering in voor hetzelfde kapitaal dan de collega die in het jaar met hoge rente ging.</w:t>
      </w:r>
    </w:p>
    <w:p>
      <w:pPr>
        <w:spacing w:after="140" w:line="300"/>
      </w:pPr>
      <w:r>
        <w:rPr>
          <w:rFonts w:ascii="Calibri" w:cs="Calibri" w:eastAsia="Calibri" w:hAnsi="Calibri"/>
          <w:b w:val="false"/>
          <w:bCs w:val="false"/>
          <w:i w:val="false"/>
          <w:iCs w:val="false"/>
          <w:sz w:val="22"/>
          <w:szCs w:val="22"/>
        </w:rPr>
        <w:t xml:space="preserve">b. Nee — de vaste uitkering wordt eenmalig vastgesteld en beweegt daarna niet meer. Dit is onomkeerbaar, exact zoals in de tabel van deel 9 werd voorspeld.</w:t>
      </w:r>
    </w:p>
    <w:p>
      <w:pPr>
        <w:spacing w:after="140" w:line="300"/>
      </w:pPr>
      <w:r>
        <w:rPr>
          <w:rFonts w:ascii="Calibri" w:cs="Calibri" w:eastAsia="Calibri" w:hAnsi="Calibri"/>
          <w:b w:val="false"/>
          <w:bCs w:val="false"/>
          <w:i w:val="false"/>
          <w:iCs w:val="false"/>
          <w:sz w:val="22"/>
          <w:szCs w:val="22"/>
        </w:rPr>
        <w:t xml:space="preserve">c. Een gedeeltelijk variabele uitkering, of het spreiden van de inkoop over meerdere momenten in plaats van alles op één dag om te zetten — als het reglement en de uitvoerder dat toestaan. Dit is ook een argument om de lifecycle-renteafbouw (deel 12) niet als volledige bescherming te beschouwen: zij dempt het risico, maar elimineert het niet op het inkoopmoment zelf.</w:t>
      </w:r>
    </w:p>
    <w:p>
      <w:pPr>
        <w:spacing w:after="100"/>
      </w:pPr>
    </w:p>
    <w:p>
      <w:pPr>
        <w:pStyle w:val="Heading2"/>
        <w:spacing w:after="120" w:before="200"/>
      </w:pPr>
      <w:r>
        <w:rPr>
          <w:rFonts w:ascii="Georgia" w:cs="Georgia" w:eastAsia="Georgia" w:hAnsi="Georgia"/>
          <w:b/>
          <w:bCs/>
          <w:color w:val="2563A8"/>
          <w:sz w:val="28"/>
          <w:szCs w:val="28"/>
        </w:rPr>
        <w:t xml:space="preserve">Opdracht 13.3 — Wie kiest de default</w:t>
      </w:r>
    </w:p>
    <w:p>
      <w:pPr>
        <w:spacing w:after="140" w:line="300"/>
      </w:pPr>
      <w:r>
        <w:rPr>
          <w:rFonts w:ascii="Calibri" w:cs="Calibri" w:eastAsia="Calibri" w:hAnsi="Calibri"/>
          <w:b w:val="false"/>
          <w:bCs w:val="false"/>
          <w:i w:val="false"/>
          <w:iCs w:val="false"/>
          <w:sz w:val="22"/>
          <w:szCs w:val="22"/>
        </w:rPr>
        <w:t xml:space="preserve">Voor welke van deze twee sectoren ligt een vaste uitkering als standaardoptie het meest voor de hand, en waarom?</w:t>
      </w:r>
    </w:p>
    <w:p>
      <w:pPr>
        <w:spacing w:after="140" w:line="300"/>
      </w:pPr>
      <w:r>
        <w:rPr>
          <w:rFonts w:ascii="Calibri" w:cs="Calibri" w:eastAsia="Calibri" w:hAnsi="Calibri"/>
          <w:b w:val="false"/>
          <w:bCs w:val="false"/>
          <w:i w:val="false"/>
          <w:iCs w:val="false"/>
          <w:sz w:val="22"/>
          <w:szCs w:val="22"/>
        </w:rPr>
        <w:t xml:space="preserve">a. Een sector met veel deeltijdwerk, lage gemiddelde pensioenen, weinig aanvullend vermogen.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sector met hoge salarissen, veel eigen vermogen naast het pensioen, en een deelnemersgroep die gewend is aan beleggingsrisico.</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vaste uitkering als default — deze groep is sterk afhankelijk van het pensioen voor de vaste lasten en heeft weinig draagkracht om een tegenvaller op te vangen. b: variabel is hier verdedigbaarder als default, gezien de bredere financiële buffer en de vertrouwdheid met risico — al blijft de individuele afweging (opdracht 13.9 in de reader) leidend, ook binnen zo’n groep.</w:t>
            </w:r>
          </w:p>
        </w:tc>
      </w:tr>
    </w:tbl>
    <w:p>
      <w:pPr>
        <w:spacing w:after="140" w:line="300"/>
      </w:pPr>
      <w:r>
        <w:rPr>
          <w:rFonts w:ascii="Calibri" w:cs="Calibri" w:eastAsia="Calibri" w:hAnsi="Calibri"/>
          <w:b w:val="false"/>
          <w:bCs w:val="false"/>
          <w:i w:val="false"/>
          <w:iCs w:val="false"/>
          <w:sz w:val="22"/>
          <w:szCs w:val="22"/>
        </w:rPr>
        <w:t xml:space="preserve">Herhaal de koppeling met deel 12: dit is dezelfde soort default-vraag als bij het standaard lifecycle-profiel, nu toegepast op de uitkeringsfase.</w:t>
      </w:r>
    </w:p>
    <w:p>
      <w:pPr>
        <w:spacing w:after="100"/>
      </w:pPr>
    </w:p>
    <w:p>
      <w:pPr>
        <w:pStyle w:val="Heading2"/>
        <w:spacing w:after="120" w:before="200"/>
      </w:pPr>
      <w:r>
        <w:rPr>
          <w:rFonts w:ascii="Georgia" w:cs="Georgia" w:eastAsia="Georgia" w:hAnsi="Georgia"/>
          <w:b/>
          <w:bCs/>
          <w:color w:val="2563A8"/>
          <w:sz w:val="28"/>
          <w:szCs w:val="28"/>
        </w:rPr>
        <w:t xml:space="preserve">Opdracht 13.4 — Het projectierendement doorgronden *</w:t>
      </w:r>
    </w:p>
    <w:p>
      <w:pPr>
        <w:spacing w:after="140" w:line="300"/>
      </w:pPr>
      <w:r>
        <w:rPr>
          <w:rFonts w:ascii="Calibri" w:cs="Calibri" w:eastAsia="Calibri" w:hAnsi="Calibri"/>
          <w:b w:val="false"/>
          <w:bCs w:val="false"/>
          <w:i w:val="false"/>
          <w:iCs w:val="false"/>
          <w:sz w:val="22"/>
          <w:szCs w:val="22"/>
        </w:rPr>
        <w:t xml:space="preserve">Een uitvoerder rekent bij de start van een variabele uitkering met een projectierendement van 4,5% (binnen het wettelijk maximum). Een deelnemer met een vergelijkbaar kapitaal bij een andere uitvoerder krijgt een offerte met een projectierendement van 2%.</w:t>
      </w:r>
    </w:p>
    <w:p>
      <w:pPr>
        <w:spacing w:after="140" w:line="300"/>
      </w:pPr>
      <w:r>
        <w:rPr>
          <w:rFonts w:ascii="Calibri" w:cs="Calibri" w:eastAsia="Calibri" w:hAnsi="Calibri"/>
          <w:b w:val="false"/>
          <w:bCs w:val="false"/>
          <w:i w:val="false"/>
          <w:iCs w:val="false"/>
          <w:sz w:val="22"/>
          <w:szCs w:val="22"/>
        </w:rPr>
        <w:t xml:space="preserve">a. Welke van de twee offertes toont waarschijnlijk de hogere eerste uitkering?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de prijs die daarvoor wordt betaald?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vraag je de deelnemer die zegt: “ik neem gewoon de hoogste eerste uitkering”?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De offerte met 4,5% projectierendement toont de hogere eerste uitkering — er wordt nu al rekening gehouden met toekomstig rendement dat nog behaald moet worden.</w:t>
      </w:r>
    </w:p>
    <w:p>
      <w:pPr>
        <w:spacing w:after="140" w:line="300"/>
      </w:pPr>
      <w:r>
        <w:rPr>
          <w:rFonts w:ascii="Calibri" w:cs="Calibri" w:eastAsia="Calibri" w:hAnsi="Calibri"/>
          <w:b w:val="false"/>
          <w:bCs w:val="false"/>
          <w:i w:val="false"/>
          <w:iCs w:val="false"/>
          <w:sz w:val="22"/>
          <w:szCs w:val="22"/>
        </w:rPr>
        <w:t xml:space="preserve">b. Een grotere kans dat de uitkering in latere jaren moet worden verlaagd als het werkelijke rendement achterblijft bij de 4,5%. Bij de offerte met 2% is de drempel om ook daadwerkelijk te kunnen laten meestijgen (bijvoorbeeld met inflatie) veel lager, dus is een latere stijging waarschijnlijker en een latere daling minder waarschijnlijk.</w:t>
      </w:r>
    </w:p>
    <w:p>
      <w:pPr>
        <w:spacing w:after="140" w:line="300"/>
      </w:pPr>
      <w:r>
        <w:rPr>
          <w:rFonts w:ascii="Calibri" w:cs="Calibri" w:eastAsia="Calibri" w:hAnsi="Calibri"/>
          <w:b w:val="false"/>
          <w:bCs w:val="false"/>
          <w:i w:val="false"/>
          <w:iCs w:val="false"/>
          <w:sz w:val="22"/>
          <w:szCs w:val="22"/>
        </w:rPr>
        <w:t xml:space="preserve">c. Of hij liever nu een hoger bedrag met meer onzekerheid over de toekomst, of nu een lager bedrag met een grotere kans op stabiliteit of stijging later. Laat hem dit expliciet afwegen in plaats van de vergelijking te laten domineren door het eerste getal dat hij ziet — precies de valkuil die in paragraaf 13.7 wordt beschreven.</w:t>
      </w:r>
    </w:p>
    <w:p>
      <w:pPr>
        <w:spacing w:after="100"/>
      </w:pPr>
    </w:p>
    <w:p>
      <w:pPr>
        <w:pStyle w:val="Heading2"/>
        <w:spacing w:after="120" w:before="200"/>
      </w:pPr>
      <w:r>
        <w:rPr>
          <w:rFonts w:ascii="Georgia" w:cs="Georgia" w:eastAsia="Georgia" w:hAnsi="Georgia"/>
          <w:b/>
          <w:bCs/>
          <w:color w:val="2563A8"/>
          <w:sz w:val="28"/>
          <w:szCs w:val="28"/>
        </w:rPr>
        <w:t xml:space="preserve">Opdracht 13.5 — Collectief of individueel doorbeleggen</w:t>
      </w:r>
    </w:p>
    <w:p>
      <w:pPr>
        <w:spacing w:after="140" w:line="300"/>
      </w:pPr>
      <w:r>
        <w:rPr>
          <w:rFonts w:ascii="Calibri" w:cs="Calibri" w:eastAsia="Calibri" w:hAnsi="Calibri"/>
          <w:b w:val="false"/>
          <w:bCs w:val="false"/>
          <w:i w:val="false"/>
          <w:iCs w:val="false"/>
          <w:sz w:val="22"/>
          <w:szCs w:val="22"/>
        </w:rPr>
        <w:t xml:space="preserve">Leg het verschil uit tussen collectief en individueel doorbeleggen, en benoem voor elk één voordeel en één nadeel.</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Individueel: de deelnemer draagt zijn eigen resultaat volledig zelf. Voordeel: volledige transparantie over de herkomst van elke stijging of daling. Nadeel: geen enkele demping — een slecht jaar werkt volledig door.</w:t>
      </w:r>
    </w:p>
    <w:p>
      <w:pPr>
        <w:spacing w:after="140" w:line="300"/>
      </w:pPr>
      <w:r>
        <w:rPr>
          <w:rFonts w:ascii="Calibri" w:cs="Calibri" w:eastAsia="Calibri" w:hAnsi="Calibri"/>
          <w:b w:val="false"/>
          <w:bCs w:val="false"/>
          <w:i w:val="false"/>
          <w:iCs w:val="false"/>
          <w:sz w:val="22"/>
          <w:szCs w:val="22"/>
        </w:rPr>
        <w:t xml:space="preserve">Collectief (toedelingskring): het risico wordt gedeeld binnen de groep gepensioneerden, met een reserve die schokken kan dempen. Voordeel: minder heftige schommelingen per individu. Nadeel: minder transparantie over “wat is mijn eigen rendement” en een zekere mate van herverdeling binnen de groep, vergelijkbaar met de discussie over de solidaire premieregeling in deel 3.</w:t>
      </w:r>
    </w:p>
    <w:p>
      <w:pPr>
        <w:spacing w:after="100"/>
      </w:pPr>
    </w:p>
    <w:p>
      <w:pPr>
        <w:pStyle w:val="Heading2"/>
        <w:spacing w:after="120" w:before="200"/>
      </w:pPr>
      <w:r>
        <w:rPr>
          <w:rFonts w:ascii="Georgia" w:cs="Georgia" w:eastAsia="Georgia" w:hAnsi="Georgia"/>
          <w:b/>
          <w:bCs/>
          <w:color w:val="2563A8"/>
          <w:sz w:val="28"/>
          <w:szCs w:val="28"/>
        </w:rPr>
        <w:t xml:space="preserve">Opdracht 13.6 — Shoprecht toepassen</w:t>
      </w:r>
    </w:p>
    <w:p>
      <w:pPr>
        <w:spacing w:after="140" w:line="300"/>
      </w:pPr>
      <w:r>
        <w:rPr>
          <w:rFonts w:ascii="Calibri" w:cs="Calibri" w:eastAsia="Calibri" w:hAnsi="Calibri"/>
          <w:b w:val="false"/>
          <w:bCs w:val="false"/>
          <w:i w:val="false"/>
          <w:iCs w:val="false"/>
          <w:sz w:val="22"/>
          <w:szCs w:val="22"/>
        </w:rPr>
        <w:t xml:space="preserve">Beoordeel per situatie of shoprecht een reële optie is.</w:t>
      </w:r>
    </w:p>
    <w:p>
      <w:pPr>
        <w:spacing w:after="140" w:line="300"/>
      </w:pPr>
      <w:r>
        <w:rPr>
          <w:rFonts w:ascii="Calibri" w:cs="Calibri" w:eastAsia="Calibri" w:hAnsi="Calibri"/>
          <w:b w:val="false"/>
          <w:bCs w:val="false"/>
          <w:i w:val="false"/>
          <w:iCs w:val="false"/>
          <w:sz w:val="22"/>
          <w:szCs w:val="22"/>
        </w:rPr>
        <w:t xml:space="preserve">a. Een deelnemer met een kapitaal opgebouwd in een flexibele premieregeling bij een PPI.</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deelnemer met aanspraken uit een premie-uitkeringsovereenkomst bij een verzekeraar.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deelnemer bij een fonds met de solidaire premieregeling.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Ja — er is een vrij kapitaal, dus shoppen bij een andere aanbieder is in beginsel mogelijk.</w:t>
      </w:r>
    </w:p>
    <w:p>
      <w:pPr>
        <w:spacing w:after="140" w:line="300"/>
      </w:pPr>
      <w:r>
        <w:rPr>
          <w:rFonts w:ascii="Calibri" w:cs="Calibri" w:eastAsia="Calibri" w:hAnsi="Calibri"/>
          <w:b w:val="false"/>
          <w:bCs w:val="false"/>
          <w:i w:val="false"/>
          <w:iCs w:val="false"/>
          <w:sz w:val="22"/>
          <w:szCs w:val="22"/>
        </w:rPr>
        <w:t xml:space="preserve">b. Nee — er is tijdens de opbouw al ingekocht; er is geen kapitaal om mee te shoppen.</w:t>
      </w:r>
    </w:p>
    <w:p>
      <w:pPr>
        <w:spacing w:after="140" w:line="300"/>
      </w:pPr>
      <w:r>
        <w:rPr>
          <w:rFonts w:ascii="Calibri" w:cs="Calibri" w:eastAsia="Calibri" w:hAnsi="Calibri"/>
          <w:b w:val="false"/>
          <w:bCs w:val="false"/>
          <w:i w:val="false"/>
          <w:iCs w:val="false"/>
          <w:sz w:val="22"/>
          <w:szCs w:val="22"/>
        </w:rPr>
        <w:t xml:space="preserve">c. Beperkt tot niet, afhankelijk van de fondsregeling — bij fondsen kan het shoprecht anders of beperkter zijn vormgegeven dan in de verzekerde wereld. Controleer het reglement in plaats van dit aan te nemen.</w:t>
      </w:r>
    </w:p>
    <w:p>
      <w:pPr>
        <w:spacing w:after="100"/>
      </w:pPr>
    </w:p>
    <w:p>
      <w:pPr>
        <w:pStyle w:val="Heading2"/>
        <w:spacing w:after="120" w:before="200"/>
      </w:pPr>
      <w:r>
        <w:rPr>
          <w:rFonts w:ascii="Georgia" w:cs="Georgia" w:eastAsia="Georgia" w:hAnsi="Georgia"/>
          <w:b/>
          <w:bCs/>
          <w:color w:val="2563A8"/>
          <w:sz w:val="28"/>
          <w:szCs w:val="28"/>
        </w:rPr>
        <w:t xml:space="preserve">Opdracht 13.7 — Advies voor Karel Sanders</w:t>
      </w:r>
    </w:p>
    <w:p>
      <w:pPr>
        <w:spacing w:after="140" w:line="300"/>
      </w:pPr>
      <w:r>
        <w:rPr>
          <w:rFonts w:ascii="Calibri" w:cs="Calibri" w:eastAsia="Calibri" w:hAnsi="Calibri"/>
          <w:b w:val="false"/>
          <w:bCs w:val="false"/>
          <w:i w:val="false"/>
          <w:iCs w:val="false"/>
          <w:sz w:val="22"/>
          <w:szCs w:val="22"/>
        </w:rPr>
        <w:t xml:space="preserve">Pas het afwegingskader uit paragraaf 13.9 toe op Karel: 58 jaar, negen jaar tot pensionering, kostwinner, partner Marleen, geen groot aanvullend vermogen.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pStyle w:val="ListParagraph"/>
        <w:numPr>
          <w:ilvl w:val="0"/>
          <w:numId w:val="1"/>
        </w:numPr>
        <w:spacing w:after="80"/>
      </w:pPr>
      <w:r>
        <w:rPr>
          <w:rFonts w:ascii="Calibri" w:cs="Calibri" w:eastAsia="Calibri" w:hAnsi="Calibri"/>
          <w:sz w:val="22"/>
          <w:szCs w:val="22"/>
        </w:rPr>
        <w:t xml:space="preserve">1. Afhankelijkheid van de uitkering: hoog — hij en Marleen leunen op dit inkomen.</w:t>
      </w:r>
    </w:p>
    <w:p>
      <w:pPr>
        <w:pStyle w:val="ListParagraph"/>
        <w:numPr>
          <w:ilvl w:val="0"/>
          <w:numId w:val="1"/>
        </w:numPr>
        <w:spacing w:after="80"/>
      </w:pPr>
      <w:r>
        <w:rPr>
          <w:rFonts w:ascii="Calibri" w:cs="Calibri" w:eastAsia="Calibri" w:hAnsi="Calibri"/>
          <w:sz w:val="22"/>
          <w:szCs w:val="22"/>
        </w:rPr>
        <w:t xml:space="preserve">2. Aanvullende buffer: beperkt.</w:t>
      </w:r>
    </w:p>
    <w:p>
      <w:pPr>
        <w:pStyle w:val="ListParagraph"/>
        <w:numPr>
          <w:ilvl w:val="0"/>
          <w:numId w:val="1"/>
        </w:numPr>
        <w:spacing w:after="80"/>
      </w:pPr>
      <w:r>
        <w:rPr>
          <w:rFonts w:ascii="Calibri" w:cs="Calibri" w:eastAsia="Calibri" w:hAnsi="Calibri"/>
          <w:sz w:val="22"/>
          <w:szCs w:val="22"/>
        </w:rPr>
        <w:t xml:space="preserve">3. Risicohouding: uit zijn eerdere reactie op de premiedaling (deel 8) blijkt hij niet gebaat bij verrassingen; dat wijst richting zekerheid.</w:t>
      </w:r>
    </w:p>
    <w:p>
      <w:pPr>
        <w:pStyle w:val="ListParagraph"/>
        <w:numPr>
          <w:ilvl w:val="0"/>
          <w:numId w:val="1"/>
        </w:numPr>
        <w:spacing w:after="80"/>
      </w:pPr>
      <w:r>
        <w:rPr>
          <w:rFonts w:ascii="Calibri" w:cs="Calibri" w:eastAsia="Calibri" w:hAnsi="Calibri"/>
          <w:sz w:val="22"/>
          <w:szCs w:val="22"/>
        </w:rPr>
        <w:t xml:space="preserve">4. Hoog projectierendement voorgespiegeld? Als dat het geval is, moet dit extra scherp worden uitgelegd — een hoge eerste uitkering die later kan dalen past niet bij zijn afhankelijkheidsprofiel.</w:t>
      </w:r>
    </w:p>
    <w:p>
      <w:pPr>
        <w:pStyle w:val="ListParagraph"/>
        <w:numPr>
          <w:ilvl w:val="0"/>
          <w:numId w:val="1"/>
        </w:numPr>
        <w:spacing w:after="80"/>
      </w:pPr>
      <w:r>
        <w:rPr>
          <w:rFonts w:ascii="Calibri" w:cs="Calibri" w:eastAsia="Calibri" w:hAnsi="Calibri"/>
          <w:sz w:val="22"/>
          <w:szCs w:val="22"/>
        </w:rPr>
        <w:t xml:space="preserve">5. Partner: Marleen is mede-afhankelijk; de uitruilkeuze naar partnerpensioen (deel 9) moet in samenhang worden bekeken, niet los.</w:t>
      </w:r>
    </w:p>
    <w:p>
      <w:pPr>
        <w:pStyle w:val="ListParagraph"/>
        <w:numPr>
          <w:ilvl w:val="0"/>
          <w:numId w:val="1"/>
        </w:numPr>
        <w:spacing w:after="80"/>
      </w:pPr>
      <w:r>
        <w:rPr>
          <w:rFonts w:ascii="Calibri" w:cs="Calibri" w:eastAsia="Calibri" w:hAnsi="Calibri"/>
          <w:sz w:val="22"/>
          <w:szCs w:val="22"/>
        </w:rPr>
        <w:t xml:space="preserve">6. Shoprecht: relevant om tijdig te onderzoeken, ruim vóór zijn beoogde pensioendatum.</w:t>
      </w:r>
    </w:p>
    <w:p>
      <w:pPr>
        <w:spacing w:after="140" w:line="300"/>
      </w:pPr>
      <w:r>
        <w:rPr>
          <w:rFonts w:ascii="Calibri" w:cs="Calibri" w:eastAsia="Calibri" w:hAnsi="Calibri"/>
          <w:b w:val="false"/>
          <w:bCs w:val="false"/>
          <w:i w:val="false"/>
          <w:iCs w:val="false"/>
          <w:sz w:val="22"/>
          <w:szCs w:val="22"/>
        </w:rPr>
        <w:t xml:space="preserve">Advies: een vaste uitkering, of hooguit een klein variabel deel als hij daar zelf uitdrukkelijk voor kiest na uitleg van de risico’s. Dit is geen automatisme maar een onderbouwde aanbeveling — de deelnemer beslist uiteindelijk zelf.</w:t>
      </w:r>
    </w:p>
    <w:p>
      <w:pPr>
        <w:spacing w:after="100"/>
      </w:pPr>
    </w:p>
    <w:p>
      <w:pPr>
        <w:pStyle w:val="Heading2"/>
        <w:spacing w:after="120" w:before="200"/>
      </w:pPr>
      <w:r>
        <w:rPr>
          <w:rFonts w:ascii="Georgia" w:cs="Georgia" w:eastAsia="Georgia" w:hAnsi="Georgia"/>
          <w:b/>
          <w:bCs/>
          <w:color w:val="2563A8"/>
          <w:sz w:val="28"/>
          <w:szCs w:val="28"/>
        </w:rPr>
        <w:t xml:space="preserve">Opdracht 13.8 — Terugkoppeling naar de hele cursus</w:t>
      </w:r>
    </w:p>
    <w:p>
      <w:pPr>
        <w:spacing w:after="140" w:line="300"/>
      </w:pPr>
      <w:r>
        <w:rPr>
          <w:rFonts w:ascii="Calibri" w:cs="Calibri" w:eastAsia="Calibri" w:hAnsi="Calibri"/>
          <w:b w:val="false"/>
          <w:bCs w:val="false"/>
          <w:i w:val="false"/>
          <w:iCs w:val="false"/>
          <w:sz w:val="22"/>
          <w:szCs w:val="22"/>
        </w:rPr>
        <w:t xml:space="preserve">Beschrijf in maximaal tien zinnen hoe de lifecycle-keuze uit deel 12, de uitkeringskeuze uit dit deel, en de nabestaandenkeuze uit deel 8 en 9 voor één deelnemer met elkaar samenhangen. Gebruik Karel als voorbeeld.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(richtlijn). Een sterk antwoord legt uit dat Karels lifecycle-instelling (deel 12) in de laatste jaren vóór pensionering al defensiever wordt, wat past bij een voorkeur voor een vaste uitkering (dit deel); dat zijn keuze voor uitruil naar een hoger partnerpensioen (deel 9) direct interacteert met de hoogte van zijn eigen vaste uitkering — meer voor Marleen betekent minder voor hemzelf; en dat het gesprek over het nabestaandenpensioen uit deel 8 idealiter niet los wordt gevoerd van dit uitkeringsgesprek, omdat beide over hetzelfde kapitaal en dezelfde keuzemomenten gaan. Beoordeel op de mate waarin de opdracht de delen daadwerkelijk aan elkaar knoopt in plaats van ze los naast elkaar te noemen.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2026-08-17T11:22:44.922Z</dcterms:created>
  <dcterms:modified xsi:type="dcterms:W3CDTF">2026-08-17T11:22:44.922Z</dcterms:modified>
</cp:coreProperties>
</file>

<file path=docProps/custom.xml><?xml version="1.0" encoding="utf-8"?>
<Properties xmlns="http://schemas.openxmlformats.org/officeDocument/2006/custom-properties" xmlns:vt="http://schemas.openxmlformats.org/officeDocument/2006/docPropsVTypes"/>
</file>