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14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14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is het “hoe komt het op papier”-dagdeel, de brug tussen inhoudelijk advies (deel 11–13) en het grote synthesedeel dat volgt (deel 15). Twee dingen moeten landen:</w:t>
      </w:r>
    </w:p>
    <w:p>
      <w:pPr>
        <w:pStyle w:val="ListParagraph"/>
        <w:numPr>
          <w:ilvl w:val="0"/>
          <w:numId w:val="1"/>
        </w:numPr>
        <w:spacing w:after="80"/>
      </w:pPr>
      <w:r>
        <w:rPr>
          <w:rFonts w:ascii="Calibri" w:cs="Calibri" w:eastAsia="Calibri" w:hAnsi="Calibri"/>
          <w:sz w:val="22"/>
          <w:szCs w:val="22"/>
        </w:rPr>
        <w:t xml:space="preserve">1. Een offerte is geen contract, en het proces ertussen kost tijd — vaak meer tijd dan werkgevers en soms adviseurs verwachten.</w:t>
      </w:r>
    </w:p>
    <w:p>
      <w:pPr>
        <w:pStyle w:val="ListParagraph"/>
        <w:numPr>
          <w:ilvl w:val="0"/>
          <w:numId w:val="1"/>
        </w:numPr>
        <w:spacing w:after="80"/>
      </w:pPr>
      <w:r>
        <w:rPr>
          <w:rFonts w:ascii="Calibri" w:cs="Calibri" w:eastAsia="Calibri" w:hAnsi="Calibri"/>
          <w:sz w:val="22"/>
          <w:szCs w:val="22"/>
        </w:rPr>
        <w:t xml:space="preserve">2. De waarborg bij overstap is het belangrijkste, minst zichtbare detail van dit hele dagdeel. Dit raakt rechtstreeks de kwetsbaarste deelnemer in het bestand (Karel) en het is precies het soort punt dat in een premievergelijking niet zichtbaar wordt.</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11–13, waarom dit deel nu</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Inventarisatiefase, opdracht 14.1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Offerteaanvraag en de achtpuntenlijst, opdracht 14.2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Collectieve en individuele acceptatie, opdracht 14.3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waarborg bij overstap, opdracht 14.4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uitvoeringsovereenkomst herzien, opdracht 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terugkoppeling deel 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kritieke pad, opdracht 14.6 en 14.7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rekenen,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Route A of B, opdracht 14.8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schrijven</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Zeg expliciet: dit dagdeel gaat niet over wát er in het contract komt (dat weten ze al uit deel 11-13), maar over hóé het daar komt. Dat onderscheid voorkomt dat deelnemers dit ervaren als herhaling.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Inventarisatiefase.</w:t>
      </w:r>
      <w:r>
        <w:rPr>
          <w:rFonts w:ascii="Calibri" w:cs="Calibri" w:eastAsia="Calibri" w:hAnsi="Calibri"/>
          <w:b w:val="false"/>
          <w:bCs w:val="false"/>
          <w:i w:val="false"/>
          <w:iCs w:val="false"/>
          <w:sz w:val="22"/>
          <w:szCs w:val="22"/>
        </w:rPr>
        <w:t xml:space="preserve"> Kort houden. Het punt: slechte data aan de voorkant vertraagt het hele proces. Dit is een eerste, lichte introductie van het datakwaliteitsthema dat in deel 19 volledig wordt behandeld.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Achtpuntenlijst.</w:t>
      </w:r>
      <w:r>
        <w:rPr>
          <w:rFonts w:ascii="Calibri" w:cs="Calibri" w:eastAsia="Calibri" w:hAnsi="Calibri"/>
          <w:b w:val="false"/>
          <w:bCs w:val="false"/>
          <w:i w:val="false"/>
          <w:iCs w:val="false"/>
          <w:sz w:val="22"/>
          <w:szCs w:val="22"/>
        </w:rPr>
        <w:t xml:space="preserve"> Bij opdracht 14.2: laat de groep de lijst uit deel 12 uit het geheugen reconstrueren voordat je hem erbij pakt. Dat test of het daar echt is beklijfd.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Acceptatie.</w:t>
      </w:r>
      <w:r>
        <w:rPr>
          <w:rFonts w:ascii="Calibri" w:cs="Calibri" w:eastAsia="Calibri" w:hAnsi="Calibri"/>
          <w:b w:val="false"/>
          <w:bCs w:val="false"/>
          <w:i w:val="false"/>
          <w:iCs w:val="false"/>
          <w:sz w:val="22"/>
          <w:szCs w:val="22"/>
        </w:rPr>
        <w:t xml:space="preserve"> Bouw dit onderdeel bewust op als opmaat naar de waarborgvraag: begin met het simpele geval (collectieve acceptatie bij reguliere opbouw), dan het duidelijke geval (individuele beoordeling bij een vrijwillige extra dekking), en pas dan het lastige geval (overstap naar een nieuwe uitvoerder) — dat is opdracht 14.4.</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waarborg — kern van het dagdeel.</w:t>
      </w:r>
      <w:r>
        <w:rPr>
          <w:rFonts w:ascii="Calibri" w:cs="Calibri" w:eastAsia="Calibri" w:hAnsi="Calibri"/>
          <w:b w:val="false"/>
          <w:bCs w:val="false"/>
          <w:i w:val="false"/>
          <w:iCs w:val="false"/>
          <w:sz w:val="22"/>
          <w:szCs w:val="22"/>
        </w:rPr>
        <w:t xml:space="preserve"> Neem hier minstens dertig minuten. Vertel eerst het scenario zonder de oplossing: een werkgever wisselt van uitvoerder voor een betere premie, en een medewerker met een inmiddels verminderde gezondheid loopt het risico zijn dekking te verliezen. Laat de groep de spanning voelen voordat je de oplossing (de waarborgbepaling) introduceert.</w:t>
      </w:r>
    </w:p>
    <w:p>
      <w:pPr>
        <w:spacing w:after="140" w:line="300"/>
      </w:pPr>
      <w:r>
        <w:rPr>
          <w:rFonts w:ascii="Calibri" w:cs="Calibri" w:eastAsia="Calibri" w:hAnsi="Calibri"/>
          <w:b w:val="false"/>
          <w:bCs w:val="false"/>
          <w:i w:val="false"/>
          <w:iCs w:val="false"/>
          <w:sz w:val="22"/>
          <w:szCs w:val="22"/>
        </w:rPr>
        <w:t xml:space="preserve">Maak de koppeling met deel 8 expliciet en hardop: dit is precies het soort dekkingsgat waar dat deel over ging, nu ontstaan door een bedrijfsbeslissing in plaats van door een persoonlijke gebeurtenis. Karel heeft hier part noch deel aan — dat is de kern van waarom dit moet worden bedongen, niet overgelaten aan de standaardvoorwaarden van de nieuwe verzekeraar.</w:t>
      </w:r>
    </w:p>
    <w:p>
      <w:pPr>
        <w:spacing w:after="140" w:line="300"/>
      </w:pPr>
      <w:r>
        <w:rPr>
          <w:rFonts w:ascii="Calibri" w:cs="Calibri" w:eastAsia="Calibri" w:hAnsi="Calibri"/>
          <w:b w:val="false"/>
          <w:bCs w:val="false"/>
          <w:i w:val="false"/>
          <w:iCs w:val="false"/>
          <w:sz w:val="22"/>
          <w:szCs w:val="22"/>
        </w:rPr>
        <w:t xml:space="preserve">Bij opdracht 14.4b: laat een paar deelnemers hun zin hardop voorlezen aan een fictieve Ferdi. Beoordeel of de zin het risico concreet maakt (met Karel als voorbeeld) in plaats van abstract blijft (“er kunnen acceptatierisico’s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Uitvoeringsovereenkomst herzien.</w:t>
      </w:r>
      <w:r>
        <w:rPr>
          <w:rFonts w:ascii="Calibri" w:cs="Calibri" w:eastAsia="Calibri" w:hAnsi="Calibri"/>
          <w:b w:val="false"/>
          <w:bCs w:val="false"/>
          <w:i w:val="false"/>
          <w:iCs w:val="false"/>
          <w:sz w:val="22"/>
          <w:szCs w:val="22"/>
        </w:rPr>
        <w:t xml:space="preserve"> Dit is bewust een korte herhaling van deel 2, nu toegepast op een nieuw contract in plaats van een bestaand contract lezen. Het punt: bij het opstellen van een nieuw contract heb je invloed op deze bepalingen, terwijl je bij het lezen van een bestaand contract (deel 2) alleen kon constateren wat er al stond. Benoem dat verschil expliciet — het is de overgang van analyseren naar adviseren.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Kritiek pad.</w:t>
      </w:r>
      <w:r>
        <w:rPr>
          <w:rFonts w:ascii="Calibri" w:cs="Calibri" w:eastAsia="Calibri" w:hAnsi="Calibri"/>
          <w:b w:val="false"/>
          <w:bCs w:val="false"/>
          <w:i w:val="false"/>
          <w:iCs w:val="false"/>
          <w:sz w:val="22"/>
          <w:szCs w:val="22"/>
        </w:rPr>
        <w:t xml:space="preserve"> Bij opdracht 14.6: laat de rekensom eerst zonder overlap doen, dan met overlap, zodat het verschil zichtbaar wordt. De conclusie moet zijn: zelfs met optimistische aannames is de marge bij Van Doorn klein. Dit is een directe, kwantitatieve onderbouwing van de waarschuwingen die in deel 5 en 7 al kwalitatief zijn gegeven.</w:t>
      </w:r>
    </w:p>
    <w:p>
      <w:pPr>
        <w:spacing w:after="140" w:line="300"/>
      </w:pPr>
      <w:r>
        <w:rPr>
          <w:rFonts w:ascii="Calibri" w:cs="Calibri" w:eastAsia="Calibri" w:hAnsi="Calibri"/>
          <w:b w:val="false"/>
          <w:bCs w:val="false"/>
          <w:i w:val="false"/>
          <w:iCs w:val="false"/>
          <w:sz w:val="22"/>
          <w:szCs w:val="22"/>
        </w:rPr>
        <w:t xml:space="preserve">Bij opdracht 14.7: dit is het moment om het “wij hebben tot 2028”-misverstand definitief te ontzenuwen met een concreet mechanisme (uitvoerders die hun eigen, eerdere interne deadlines hanteren) in plaats van alleen met een waarschuwing.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Afsluiting.</w:t>
      </w:r>
      <w:r>
        <w:rPr>
          <w:rFonts w:ascii="Calibri" w:cs="Calibri" w:eastAsia="Calibri" w:hAnsi="Calibri"/>
          <w:b w:val="false"/>
          <w:bCs w:val="false"/>
          <w:i w:val="false"/>
          <w:iCs w:val="false"/>
          <w:sz w:val="22"/>
          <w:szCs w:val="22"/>
        </w:rPr>
        <w:t xml:space="preserve"> Laat opdracht 14.8 individueel schrijven, geen bespreking meer dit dagdeel — het dient als opwarmer voor het grote synthesedeel dat volgt.</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waarborgbepaling gebruikelijk, of moet je er echt om vragen?”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Zij is niet vanzelfsprekend en moet actief worden bedongen; verschilt per uitvoerder en per marktomstandigheid. Behandel het nooit als aanname.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medewerker al ziek is op het moment van de overstap?”</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Dit raakt de vergeten-groep-vraag uit deel 8: iemand die op het transitiemoment al arbeidsongeschikt is, heeft een positie die nog explicieter in de contractonderhandeling moet worden geregeld. Behandel dit als een apart aandachtspunt binnen de waarborgvraag, niet als vanzelfsprekend meegenomen.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de acceptatievraag ook spelen bij het gewoon voortzetten bij dezelfde uitvoerder?”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 de regel niet voor het zittende bestand — het risico speelt vooral bij overstap naar een nieuwe partij of bij een aanzienlijke ophoging van een bestaande dekking.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“Hoeveel offertes moet je minimaal vergelijken?”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Er is geen wettelijk minimum, maar zorgplicht (deel 18) vraagt om een onderbouwd advies. Twee tot drie serieuze offertes is in de praktijk gebruikelijk voor een dossier van deze omvang.</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Een fictief maar realistisch concept van een uitvoeringsovereenkomst om te laten circuleren, met de vier verplichte onderdelen zichtbaar</w:t>
      </w:r>
    </w:p>
    <w:p>
      <w:pPr>
        <w:pStyle w:val="ListParagraph"/>
        <w:numPr>
          <w:ilvl w:val="0"/>
          <w:numId w:val="1"/>
        </w:numPr>
        <w:spacing w:after="80"/>
      </w:pPr>
      <w:r>
        <w:rPr>
          <w:rFonts w:ascii="Calibri" w:cs="Calibri" w:eastAsia="Calibri" w:hAnsi="Calibri"/>
          <w:sz w:val="22"/>
          <w:szCs w:val="22"/>
        </w:rPr>
        <w:t xml:space="preserve">Rekenblad voor het kritieke pad, met de indicatieve doorlooptijden voorgedrukt</w:t>
      </w:r>
    </w:p>
    <w:p>
      <w:pPr>
        <w:pStyle w:val="ListParagraph"/>
        <w:numPr>
          <w:ilvl w:val="0"/>
          <w:numId w:val="1"/>
        </w:numPr>
        <w:spacing w:after="80"/>
      </w:pPr>
      <w:r>
        <w:rPr>
          <w:rFonts w:ascii="Calibri" w:cs="Calibri" w:eastAsia="Calibri" w:hAnsi="Calibri"/>
          <w:sz w:val="22"/>
          <w:szCs w:val="22"/>
        </w:rPr>
        <w:t xml:space="preserve">Actuele informatie over marktdrukte en interne deadlines bij uitvoerders — controleer dit vlak vóór de sessie, dit verandert door het jaar heen</w:t>
      </w:r>
    </w:p>
    <w:p>
      <w:pPr>
        <w:pStyle w:val="ListParagraph"/>
        <w:numPr>
          <w:ilvl w:val="0"/>
          <w:numId w:val="1"/>
        </w:numPr>
        <w:spacing w:after="80"/>
      </w:pPr>
      <w:r>
        <w:rPr>
          <w:rFonts w:ascii="Calibri" w:cs="Calibri" w:eastAsia="Calibri" w:hAnsi="Calibri"/>
          <w:sz w:val="22"/>
          <w:szCs w:val="22"/>
        </w:rPr>
        <w:t xml:space="preserve">Rolkaartje “Ferdi” voor het hardop voorlezen bij opdracht 14.4b</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geen apart huiswerk; opdracht 14.8 wordt in de sessie afgerond en dient als basis voor deel 15. Kondig aan: deel 15 beslaat twee dagdelen en voegt alles samen — van diagnose tot de nieuwe regeling die daadwerkelijk draait. Vraag deelnemers hun beslisnotitie (14.8) mee te nemen.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2026-08-17T11:22:45.074Z</dcterms:created>
  <dcterms:modified xsi:type="dcterms:W3CDTF">2026-08-17T11:22:45.074Z</dcterms:modified>
</cp:coreProperties>
</file>

<file path=docProps/custom.xml><?xml version="1.0" encoding="utf-8"?>
<Properties xmlns="http://schemas.openxmlformats.org/officeDocument/2006/custom-properties" xmlns:vt="http://schemas.openxmlformats.org/officeDocument/2006/docPropsVTypes"/>
</file>