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14 — Werkboek</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14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14.1 — Wat heeft de uitvoerder nodig?</w:t>
      </w:r>
    </w:p>
    <w:p>
      <w:pPr>
        <w:spacing w:after="140" w:line="300"/>
      </w:pPr>
      <w:r>
        <w:rPr>
          <w:rFonts w:ascii="Calibri" w:cs="Calibri" w:eastAsia="Calibri" w:hAnsi="Calibri"/>
          <w:b w:val="false"/>
          <w:bCs w:val="false"/>
          <w:i w:val="false"/>
          <w:iCs w:val="false"/>
          <w:sz w:val="22"/>
          <w:szCs w:val="22"/>
        </w:rPr>
        <w:t xml:space="preserve">Een werkgever levert voor een offerteaanvraag alleen een lijst met namen en geboortedata aan. Welke drie categorieën gegevens ontbreken minimaal, en wat is het risico van elk gemis?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Salarissen en deeltijdfactoren ontbreken — zonder die gegevens is geen enkele premie te berekenen (deel 11). De huidige regeling en het bestaande reglement ontbreken — de uitvoerder weet dan niet wat er wordt overgenomen of achtergelaten (deel 2 en 5), met als risico een offerte die achteraf niet aansluit op de werkelijke uitgangssituatie. De doelstellingen van de werkgever (eerbiedigende werking ja/nee, risicobereidheid) ontbreken — zonder die input maakt de uitvoerder aannames die niet bij de werkgever passen, met vertraging tot gevolg zodra dat blijkt.</w:t>
            </w:r>
          </w:p>
        </w:tc>
      </w:tr>
    </w:tbl>
    <w:p>
      <w:pPr>
        <w:spacing w:after="100"/>
      </w:pPr>
    </w:p>
    <w:p>
      <w:pPr>
        <w:pStyle w:val="Heading2"/>
        <w:spacing w:after="120" w:before="200"/>
      </w:pPr>
      <w:r>
        <w:rPr>
          <w:rFonts w:ascii="Georgia" w:cs="Georgia" w:eastAsia="Georgia" w:hAnsi="Georgia"/>
          <w:b/>
          <w:bCs/>
          <w:color w:val="2563A8"/>
          <w:sz w:val="28"/>
          <w:szCs w:val="28"/>
        </w:rPr>
        <w:t xml:space="preserve">Opdracht 14.2 — De achtpuntenlijst toepassen</w:t>
      </w:r>
    </w:p>
    <w:p>
      <w:pPr>
        <w:spacing w:after="140" w:line="300"/>
      </w:pPr>
      <w:r>
        <w:rPr>
          <w:rFonts w:ascii="Calibri" w:cs="Calibri" w:eastAsia="Calibri" w:hAnsi="Calibri"/>
          <w:b w:val="false"/>
          <w:bCs w:val="false"/>
          <w:i w:val="false"/>
          <w:iCs w:val="false"/>
          <w:sz w:val="22"/>
          <w:szCs w:val="22"/>
        </w:rPr>
        <w:t xml:space="preserve">Een adviseur presenteert twee offertes aan een werkgever, uitsluitend op basis van het premiepercentage en de TER. Welke drie punten van de achtpuntenlijst uit paragraaf 14.4 ontbreken, en wat is het risico van elk gemis?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Mogelijk ontbrekend: het garantieniveau (een groot verschil in productkarakter, deel 12), de contractvoorwaarden (looptijd en afwikkeling, met directe link naar deel 2 en 5 — wat gebeurt er met het kapitaal na afloop), en de risicodekkingen (of deze apart of verdisconteerd zijn, relevant voor de 30%-toets uit deel 11). Elk gemis kan leiden tot een schijnbaar gunstige offerte die bij nadere lezing wezenlijk anders uitpakt dan gedacht.</w:t>
            </w:r>
          </w:p>
        </w:tc>
      </w:tr>
    </w:tbl>
    <w:p>
      <w:pPr>
        <w:spacing w:after="100"/>
      </w:pPr>
    </w:p>
    <w:p>
      <w:pPr>
        <w:pStyle w:val="Heading2"/>
        <w:spacing w:after="120" w:before="200"/>
      </w:pPr>
      <w:r>
        <w:rPr>
          <w:rFonts w:ascii="Georgia" w:cs="Georgia" w:eastAsia="Georgia" w:hAnsi="Georgia"/>
          <w:b/>
          <w:bCs/>
          <w:color w:val="2563A8"/>
          <w:sz w:val="28"/>
          <w:szCs w:val="28"/>
        </w:rPr>
        <w:t xml:space="preserve">Opdracht 14.3 — Collectief of individueel</w:t>
      </w:r>
    </w:p>
    <w:p>
      <w:pPr>
        <w:spacing w:after="140" w:line="300"/>
      </w:pPr>
      <w:r>
        <w:rPr>
          <w:rFonts w:ascii="Calibri" w:cs="Calibri" w:eastAsia="Calibri" w:hAnsi="Calibri"/>
          <w:b w:val="false"/>
          <w:bCs w:val="false"/>
          <w:i w:val="false"/>
          <w:iCs w:val="false"/>
          <w:sz w:val="22"/>
          <w:szCs w:val="22"/>
        </w:rPr>
        <w:t xml:space="preserve">Beoordeel per situatie of collectieve of individuele acceptatie waarschijnlijk is.</w:t>
      </w:r>
    </w:p>
    <w:p>
      <w:pPr>
        <w:spacing w:after="140" w:line="300"/>
      </w:pPr>
      <w:r>
        <w:rPr>
          <w:rFonts w:ascii="Calibri" w:cs="Calibri" w:eastAsia="Calibri" w:hAnsi="Calibri"/>
          <w:b w:val="false"/>
          <w:bCs w:val="false"/>
          <w:i w:val="false"/>
          <w:iCs w:val="false"/>
          <w:sz w:val="22"/>
          <w:szCs w:val="22"/>
        </w:rPr>
        <w:t xml:space="preserve">a. Een nieuwe medewerker treedt toe tot de reguliere ouderdomspensioenopbouw.</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medewerker vraagt om een aanvullende, vrijwillige arbeidsongeschiktheidsdekking boven de standaardregeling.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Het gehele bestand van Van Doorn Techniek gaat over naar Meridiaan met een vernieuwd contract, ongewijzigde uitvoerder.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Het gehele bestand gaat over naar een nieuwe, andere verzekeraar.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collectief — reguliere opbouw kent geen individuele toets. b: individueel — een aanvullende, bovenwettelijke dekking op verzoek vergt vaak een gezondheidsverklaring. c: in de regel geen probleem, want er is geen nieuwe uitvoerder die opnieuw zou moeten beoordelen. d: hier is de waarborgvraag uit paragraaf 14.5 acuut — zonder afspraak kan individuele herbeoordeling voor bestaande risicodekkingen aan de orde zijn.</w:t>
            </w:r>
          </w:p>
        </w:tc>
      </w:tr>
    </w:tbl>
    <w:p>
      <w:pPr>
        <w:spacing w:after="100"/>
      </w:pPr>
    </w:p>
    <w:p>
      <w:pPr>
        <w:pStyle w:val="Heading2"/>
        <w:spacing w:after="120" w:before="200"/>
      </w:pPr>
      <w:r>
        <w:rPr>
          <w:rFonts w:ascii="Georgia" w:cs="Georgia" w:eastAsia="Georgia" w:hAnsi="Georgia"/>
          <w:b/>
          <w:bCs/>
          <w:color w:val="2563A8"/>
          <w:sz w:val="28"/>
          <w:szCs w:val="28"/>
        </w:rPr>
        <w:t xml:space="preserve">Opdracht 14.4 — De waarborg bedingen *</w:t>
      </w:r>
    </w:p>
    <w:p>
      <w:pPr>
        <w:spacing w:after="140" w:line="300"/>
      </w:pPr>
      <w:r>
        <w:rPr>
          <w:rFonts w:ascii="Calibri" w:cs="Calibri" w:eastAsia="Calibri" w:hAnsi="Calibri"/>
          <w:b w:val="false"/>
          <w:bCs w:val="false"/>
          <w:i w:val="false"/>
          <w:iCs w:val="false"/>
          <w:sz w:val="22"/>
          <w:szCs w:val="22"/>
        </w:rPr>
        <w:t xml:space="preserve">Van Doorn overweegt over te stappen naar een andere verzekeraar die een scherpere premie en lagere kosten biedt dan Meridiaan.</w:t>
      </w:r>
    </w:p>
    <w:p>
      <w:pPr>
        <w:spacing w:after="140" w:line="300"/>
      </w:pPr>
      <w:r>
        <w:rPr>
          <w:rFonts w:ascii="Calibri" w:cs="Calibri" w:eastAsia="Calibri" w:hAnsi="Calibri"/>
          <w:b w:val="false"/>
          <w:bCs w:val="false"/>
          <w:i w:val="false"/>
          <w:iCs w:val="false"/>
          <w:sz w:val="22"/>
          <w:szCs w:val="22"/>
        </w:rPr>
        <w:t xml:space="preserve">a. Wat is het risico voor Karel specifiek, als er geen waarborgbepaling wordt afgesproken?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Formuleer een zin die je in het adviesgesprek met Ferdi gebruikt om dit punt te agenderen, vóórdat het contract wordt getekend.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doe je als de nieuwe verzekeraar de waarborg niet standaard aanbiedt?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Karel kan bij individuele herbeoordeling van zijn arbeidsongeschiktheids- of nabestaandendekking worden geconfronteerd met een lagere dekking, een hogere premie voor die dekking, of in het ongunstigste geval een uitsluiting — puur als gevolg van de overstap van werkgever, niet van iets dat hij zelf heeft gedaan of nagelaten.</w:t>
      </w:r>
    </w:p>
    <w:p>
      <w:pPr>
        <w:spacing w:after="140" w:line="300"/>
      </w:pPr>
      <w:r>
        <w:rPr>
          <w:rFonts w:ascii="Calibri" w:cs="Calibri" w:eastAsia="Calibri" w:hAnsi="Calibri"/>
          <w:b w:val="false"/>
          <w:bCs w:val="false"/>
          <w:i w:val="false"/>
          <w:iCs w:val="false"/>
          <w:sz w:val="22"/>
          <w:szCs w:val="22"/>
        </w:rPr>
        <w:t xml:space="preserve">b. Bijvoorbeeld: “Voordat we deze overstap definitief maken, moeten we vastleggen dat niemand van de huidige medewerkers opnieuw medisch wordt beoordeeld — anders loopt bijvoorbeeld Karel het risico dat hij zijn huidige dekking niet behoudt, terwijl hij daar part noch deel aan heeft.”</w:t>
      </w:r>
    </w:p>
    <w:p>
      <w:pPr>
        <w:spacing w:after="140" w:line="300"/>
      </w:pPr>
      <w:r>
        <w:rPr>
          <w:rFonts w:ascii="Calibri" w:cs="Calibri" w:eastAsia="Calibri" w:hAnsi="Calibri"/>
          <w:b w:val="false"/>
          <w:bCs w:val="false"/>
          <w:i w:val="false"/>
          <w:iCs w:val="false"/>
          <w:sz w:val="22"/>
          <w:szCs w:val="22"/>
        </w:rPr>
        <w:t xml:space="preserve">c. Onderhandel het expliciet als voorwaarde voor het aangaan van het contract, en als de verzekeraar dit niet kan of wil toezeggen, weeg dat risico zwaar mee in de eindafweging tussen Route A en Route B uit paragraaf 14.8 — een premievoordeel dat een deelnemer zijn dekking kan kosten, is geen zuiver financiële vergelijking meer.</w:t>
      </w:r>
    </w:p>
    <w:p>
      <w:pPr>
        <w:spacing w:after="100"/>
      </w:pPr>
    </w:p>
    <w:p>
      <w:pPr>
        <w:pStyle w:val="Heading2"/>
        <w:spacing w:after="120" w:before="200"/>
      </w:pPr>
      <w:r>
        <w:rPr>
          <w:rFonts w:ascii="Georgia" w:cs="Georgia" w:eastAsia="Georgia" w:hAnsi="Georgia"/>
          <w:b/>
          <w:bCs/>
          <w:color w:val="2563A8"/>
          <w:sz w:val="28"/>
          <w:szCs w:val="28"/>
        </w:rPr>
        <w:t xml:space="preserve">Opdracht 14.5 — De uitvoeringsovereenkomst controleren</w:t>
      </w:r>
    </w:p>
    <w:p>
      <w:pPr>
        <w:spacing w:after="140" w:line="300"/>
      </w:pPr>
      <w:r>
        <w:rPr>
          <w:rFonts w:ascii="Calibri" w:cs="Calibri" w:eastAsia="Calibri" w:hAnsi="Calibri"/>
          <w:b w:val="false"/>
          <w:bCs w:val="false"/>
          <w:i w:val="false"/>
          <w:iCs w:val="false"/>
          <w:sz w:val="22"/>
          <w:szCs w:val="22"/>
        </w:rPr>
        <w:t xml:space="preserve">Terug naar deel 2: noem de vier onderdelen die in elke uitvoeringsovereenkomst horen te staan, en geef bij elk onderdeel aan welk risico ontstaat als het ontbreekt of onduidelijk is geformuleerd.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Premievaststelling en betalingstermijnen — risico: onduidelijkheid over wanneer een premieachterstand ontstaat en wat daarvan de gevolgen zijn. Informatieverplichtingen — risico: mutaties (deel 9) worden niet op tijd doorgegeven, met dekkingsgaten tot gevolg. Voorwaarden voor toeslagverlening — risico: onduidelijk of en hoe wordt geïndexeerd. Looptijd en gevolgen van beëindiging — risico: precies het punt uit deel 2 en 5 dat bepaalt wat er met het kapitaal gebeurt als het contract afloopt; zonder heldere bepaling ontstaat discussie op het moment dat het er het minst gelegen komt.</w:t>
            </w:r>
          </w:p>
        </w:tc>
      </w:tr>
    </w:tbl>
    <w:p>
      <w:pPr>
        <w:spacing w:after="100"/>
      </w:pPr>
    </w:p>
    <w:p>
      <w:pPr>
        <w:pStyle w:val="Heading2"/>
        <w:spacing w:after="120" w:before="200"/>
      </w:pPr>
      <w:r>
        <w:rPr>
          <w:rFonts w:ascii="Georgia" w:cs="Georgia" w:eastAsia="Georgia" w:hAnsi="Georgia"/>
          <w:b/>
          <w:bCs/>
          <w:color w:val="2563A8"/>
          <w:sz w:val="28"/>
          <w:szCs w:val="28"/>
        </w:rPr>
        <w:t xml:space="preserve">Opdracht 14.6 — Het kritieke pad plannen</w:t>
      </w:r>
    </w:p>
    <w:p>
      <w:pPr>
        <w:spacing w:after="140" w:line="300"/>
      </w:pPr>
      <w:r>
        <w:rPr>
          <w:rFonts w:ascii="Calibri" w:cs="Calibri" w:eastAsia="Calibri" w:hAnsi="Calibri"/>
          <w:b w:val="false"/>
          <w:bCs w:val="false"/>
          <w:i w:val="false"/>
          <w:iCs w:val="false"/>
          <w:sz w:val="22"/>
          <w:szCs w:val="22"/>
        </w:rPr>
        <w:t xml:space="preserve">Van Doorn wil per 1 januari 2027 ingaan met de nieuwe regeling. Gebruik de indicatieve doorlooptijden uit paragraaf 14.7 om terug te rekenen: op welke datum moet uiterlijk worden gestart met de inventarisatiefase, uitgaande van de langste indicatie per fase en enige overlap tussen fasen?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Optellend vanaf de langste indicaties (6 + 8 + 12 + 6 + 12 weken = 44 weken, ruim tien maanden) zonder overlap kom je uit op begin maart 2026 als startdatum. Met gedeeltelijke overlap tussen het arbeidsvoorwaardelijk traject en de offertefase, en tussen contractering en start implementatie, is een start rond april–mei 2026 realistisch — nog steeds ruim vóór de contractuele opzegtermijn van 30 juni 2026, maar met weinig marge voor vertraging. Dit bevestigt waarom in deel 5 en 7 al werd gewaarschuwd dat “we hebben tot 2028” een misleidende geruststelling is: het echte tijdspad wordt niet door de wettelijke uiterste datum bepaald maar door het eigen contract en het operationele proces.</w:t>
            </w:r>
          </w:p>
        </w:tc>
      </w:tr>
    </w:tbl>
    <w:p>
      <w:pPr>
        <w:spacing w:after="100"/>
      </w:pPr>
    </w:p>
    <w:p>
      <w:pPr>
        <w:pStyle w:val="Heading2"/>
        <w:spacing w:after="120" w:before="200"/>
      </w:pPr>
      <w:r>
        <w:rPr>
          <w:rFonts w:ascii="Georgia" w:cs="Georgia" w:eastAsia="Georgia" w:hAnsi="Georgia"/>
          <w:b/>
          <w:bCs/>
          <w:color w:val="2563A8"/>
          <w:sz w:val="28"/>
          <w:szCs w:val="28"/>
        </w:rPr>
        <w:t xml:space="preserve">Opdracht 14.7 — Marktdrukte</w:t>
      </w:r>
    </w:p>
    <w:p>
      <w:pPr>
        <w:spacing w:after="140" w:line="300"/>
      </w:pPr>
      <w:r>
        <w:rPr>
          <w:rFonts w:ascii="Calibri" w:cs="Calibri" w:eastAsia="Calibri" w:hAnsi="Calibri"/>
          <w:b w:val="false"/>
          <w:bCs w:val="false"/>
          <w:i w:val="false"/>
          <w:iCs w:val="false"/>
          <w:sz w:val="22"/>
          <w:szCs w:val="22"/>
        </w:rPr>
        <w:t xml:space="preserve">Een uitvoerder deelt mee dat hij vanaf een bepaald kwartaal geen nieuwe transitiedossiers meer in behandeling neemt voor een ingangsdatum in het eerstvolgende kwartaal.</w:t>
      </w:r>
    </w:p>
    <w:p>
      <w:pPr>
        <w:spacing w:after="140" w:line="300"/>
      </w:pPr>
      <w:r>
        <w:rPr>
          <w:rFonts w:ascii="Calibri" w:cs="Calibri" w:eastAsia="Calibri" w:hAnsi="Calibri"/>
          <w:b w:val="false"/>
          <w:bCs w:val="false"/>
          <w:i w:val="false"/>
          <w:iCs w:val="false"/>
          <w:sz w:val="22"/>
          <w:szCs w:val="22"/>
        </w:rPr>
        <w:t xml:space="preserve">a. Wat betekent dit voor de planning uit opdracht 14.6?</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zeg je tegen Ferdi als hij vraagt: “maar de wet geeft ons toch tot 2028?”</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De interne deadline van de uitvoerder is dan leidend voor de planning, niet de wettelijke uiterste datum — en die interne deadline ligt per definitie eerder. Het kritieke pad moet daarop worden afgestemd, niet op 1 januari 2028.</w:t>
      </w:r>
    </w:p>
    <w:p>
      <w:pPr>
        <w:spacing w:after="140" w:line="300"/>
      </w:pPr>
      <w:r>
        <w:rPr>
          <w:rFonts w:ascii="Calibri" w:cs="Calibri" w:eastAsia="Calibri" w:hAnsi="Calibri"/>
          <w:b w:val="false"/>
          <w:bCs w:val="false"/>
          <w:i w:val="false"/>
          <w:iCs w:val="false"/>
          <w:sz w:val="22"/>
          <w:szCs w:val="22"/>
        </w:rPr>
        <w:t xml:space="preserve">b. Leg uit dat de wettelijke datum het punt is waarop alles klaar moet zijn, niet het punt waarop je kunt beginnen na te denken — en dat de uitvoerders, geconfronteerd met tienduizenden gelijktijdige dossiers, hun eigen, eerdere deadlines hanteren om die piek te kunnen verwerken. Wachten tot de wettelijke datum in zicht komt, betekent in de praktijk dat de gewenste uitvoerder al geen ruimte meer heeft.</w:t>
      </w:r>
    </w:p>
    <w:p>
      <w:pPr>
        <w:spacing w:after="100"/>
      </w:pPr>
    </w:p>
    <w:p>
      <w:pPr>
        <w:pStyle w:val="Heading2"/>
        <w:spacing w:after="120" w:before="200"/>
      </w:pPr>
      <w:r>
        <w:rPr>
          <w:rFonts w:ascii="Georgia" w:cs="Georgia" w:eastAsia="Georgia" w:hAnsi="Georgia"/>
          <w:b/>
          <w:bCs/>
          <w:color w:val="2563A8"/>
          <w:sz w:val="28"/>
          <w:szCs w:val="28"/>
        </w:rPr>
        <w:t xml:space="preserve">Opdracht 14.8 — Route A of route B</w:t>
      </w:r>
    </w:p>
    <w:p>
      <w:pPr>
        <w:spacing w:after="140" w:line="300"/>
      </w:pPr>
      <w:r>
        <w:rPr>
          <w:rFonts w:ascii="Calibri" w:cs="Calibri" w:eastAsia="Calibri" w:hAnsi="Calibri"/>
          <w:b w:val="false"/>
          <w:bCs w:val="false"/>
          <w:i w:val="false"/>
          <w:iCs w:val="false"/>
          <w:sz w:val="22"/>
          <w:szCs w:val="22"/>
        </w:rPr>
        <w:t xml:space="preserve">Stel voor Van Doorn Techniek een beslisnotitie op van maximaal een half A4 waarin je Route A (doorgaan bij Meridiaan) en Route B (overstappen) tegen elkaar afweegt, met minstens: het acceptatierisico voor Karel, de verwachte doorlooptijd, en de productvergelijking uit deel 12.</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het acceptatierisico voor Karel wordt expliciet benoemd en niet behandeld als bijzaak naast de premie; de doorlooptijd van beide routes wordt vergeleken (Route B kent doorgaans een langere doorlooptijd vanwege de volledige offertevergelijking); en de aanbeveling is voorwaardelijk geformuleerd (“Route B, mits de waarborg hard is toegezegd”) in plaats van onvoorwaardelijk — dat laatste is in dit vak zelden verdedigbaar.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2026-08-17T11:22:45.043Z</dcterms:created>
  <dcterms:modified xsi:type="dcterms:W3CDTF">2026-08-17T11:22:45.043Z</dcterms:modified>
</cp:coreProperties>
</file>

<file path=docProps/custom.xml><?xml version="1.0" encoding="utf-8"?>
<Properties xmlns="http://schemas.openxmlformats.org/officeDocument/2006/custom-properties" xmlns:vt="http://schemas.openxmlformats.org/officeDocument/2006/docPropsVTypes"/>
</file>