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15 — Transitie in verzekerde regelingen</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15 — Transitie in verzekerde regelingen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 · Twee dagdelen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15.1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volledige transitiestappenplan voor een verzekerde regeling uitvoeren, van diagnose tot ingang;</w:t>
      </w:r>
    </w:p>
    <w:p>
      <w:pPr>
        <w:pStyle w:val="ListParagraph"/>
        <w:numPr>
          <w:ilvl w:val="0"/>
          <w:numId w:val="1"/>
        </w:numPr>
        <w:spacing w:after="80"/>
      </w:pPr>
      <w:r>
        <w:rPr>
          <w:rFonts w:ascii="Calibri" w:cs="Calibri" w:eastAsia="Calibri" w:hAnsi="Calibri"/>
          <w:sz w:val="22"/>
          <w:szCs w:val="22"/>
        </w:rPr>
        <w:t xml:space="preserve">2. de actuele wettelijke mijlpalen plaatsen, inclusief het verschil tussen de wettelijke uiterste datum en contractuele deadlines;</w:t>
      </w:r>
    </w:p>
    <w:p>
      <w:pPr>
        <w:pStyle w:val="ListParagraph"/>
        <w:numPr>
          <w:ilvl w:val="0"/>
          <w:numId w:val="1"/>
        </w:numPr>
        <w:spacing w:after="80"/>
      </w:pPr>
      <w:r>
        <w:rPr>
          <w:rFonts w:ascii="Calibri" w:cs="Calibri" w:eastAsia="Calibri" w:hAnsi="Calibri"/>
          <w:sz w:val="22"/>
          <w:szCs w:val="22"/>
        </w:rPr>
        <w:t xml:space="preserve">3. de vijf hoofdkeuzes benoemen die uiterlijk vóór de indieningstermijn gemaakt moeten zijn;</w:t>
      </w:r>
    </w:p>
    <w:p>
      <w:pPr>
        <w:pStyle w:val="ListParagraph"/>
        <w:numPr>
          <w:ilvl w:val="0"/>
          <w:numId w:val="1"/>
        </w:numPr>
        <w:spacing w:after="80"/>
      </w:pPr>
      <w:r>
        <w:rPr>
          <w:rFonts w:ascii="Calibri" w:cs="Calibri" w:eastAsia="Calibri" w:hAnsi="Calibri"/>
          <w:sz w:val="22"/>
          <w:szCs w:val="22"/>
        </w:rPr>
        <w:t xml:space="preserve">4. complicaties bij gemengde bestanden, meerdere vestigingen en cao-gebonden onderdelen herkennen en adresseren;</w:t>
      </w:r>
    </w:p>
    <w:p>
      <w:pPr>
        <w:pStyle w:val="ListParagraph"/>
        <w:numPr>
          <w:ilvl w:val="0"/>
          <w:numId w:val="1"/>
        </w:numPr>
        <w:spacing w:after="80"/>
      </w:pPr>
      <w:r>
        <w:rPr>
          <w:rFonts w:ascii="Calibri" w:cs="Calibri" w:eastAsia="Calibri" w:hAnsi="Calibri"/>
          <w:sz w:val="22"/>
          <w:szCs w:val="22"/>
        </w:rPr>
        <w:t xml:space="preserve">5. de rol van elke betrokken partij door de hele tijdlijn beschrijven;</w:t>
      </w:r>
    </w:p>
    <w:p>
      <w:pPr>
        <w:pStyle w:val="ListParagraph"/>
        <w:numPr>
          <w:ilvl w:val="0"/>
          <w:numId w:val="1"/>
        </w:numPr>
        <w:spacing w:after="80"/>
      </w:pPr>
      <w:r>
        <w:rPr>
          <w:rFonts w:ascii="Calibri" w:cs="Calibri" w:eastAsia="Calibri" w:hAnsi="Calibri"/>
          <w:sz w:val="22"/>
          <w:szCs w:val="22"/>
        </w:rPr>
        <w:t xml:space="preserve">6. een volledig, samenhangend transitiedossier voor Van Doorn Techniek opleveren dat alle eerdere delen van deze cursus integreert.</w:t>
      </w:r>
    </w:p>
    <w:p>
      <w:pPr>
        <w:spacing w:after="100"/>
      </w:pPr>
    </w:p>
    <w:p>
      <w:pPr>
        <w:pStyle w:val="Heading2"/>
        <w:spacing w:after="120" w:before="200"/>
      </w:pPr>
      <w:r>
        <w:rPr>
          <w:rFonts w:ascii="Georgia" w:cs="Georgia" w:eastAsia="Georgia" w:hAnsi="Georgia"/>
          <w:b/>
          <w:bCs/>
          <w:color w:val="2563A8"/>
          <w:sz w:val="28"/>
          <w:szCs w:val="28"/>
        </w:rPr>
        <w:t xml:space="preserve">15.2 Waarom dit hét zwaartepuntdeel is</w:t>
      </w:r>
    </w:p>
    <w:p>
      <w:pPr>
        <w:spacing w:after="140" w:line="300"/>
      </w:pPr>
      <w:r>
        <w:rPr>
          <w:rFonts w:ascii="Calibri" w:cs="Calibri" w:eastAsia="Calibri" w:hAnsi="Calibri"/>
          <w:b w:val="false"/>
          <w:bCs w:val="false"/>
          <w:i w:val="false"/>
          <w:iCs w:val="false"/>
          <w:sz w:val="22"/>
          <w:szCs w:val="22"/>
        </w:rPr>
        <w:t xml:space="preserve">Elk voorgaand deel van niveau 1 en niveau 2 heeft één stuk van de puzzel geleverd:</w:t>
      </w:r>
    </w:p>
    <w:p>
      <w:pPr>
        <w:pStyle w:val="ListParagraph"/>
        <w:numPr>
          <w:ilvl w:val="0"/>
          <w:numId w:val="1"/>
        </w:numPr>
        <w:spacing w:after="80"/>
      </w:pPr>
      <w:r>
        <w:rPr>
          <w:rFonts w:ascii="Calibri" w:cs="Calibri" w:eastAsia="Calibri" w:hAnsi="Calibri"/>
          <w:sz w:val="22"/>
          <w:szCs w:val="22"/>
        </w:rPr>
        <w:t xml:space="preserve">deel 2 — de driehoek waarlangs een wijziging moet lopen;</w:t>
      </w:r>
    </w:p>
    <w:p>
      <w:pPr>
        <w:pStyle w:val="ListParagraph"/>
        <w:numPr>
          <w:ilvl w:val="0"/>
          <w:numId w:val="1"/>
        </w:numPr>
        <w:spacing w:after="80"/>
      </w:pPr>
      <w:r>
        <w:rPr>
          <w:rFonts w:ascii="Calibri" w:cs="Calibri" w:eastAsia="Calibri" w:hAnsi="Calibri"/>
          <w:sz w:val="22"/>
          <w:szCs w:val="22"/>
        </w:rPr>
        <w:t xml:space="preserve">deel 4 — de vraag of een werkgever überhaupt vrij is te kiezen;</w:t>
      </w:r>
    </w:p>
    <w:p>
      <w:pPr>
        <w:pStyle w:val="ListParagraph"/>
        <w:numPr>
          <w:ilvl w:val="0"/>
          <w:numId w:val="1"/>
        </w:numPr>
        <w:spacing w:after="80"/>
      </w:pPr>
      <w:r>
        <w:rPr>
          <w:rFonts w:ascii="Calibri" w:cs="Calibri" w:eastAsia="Calibri" w:hAnsi="Calibri"/>
          <w:sz w:val="22"/>
          <w:szCs w:val="22"/>
        </w:rPr>
        <w:t xml:space="preserve">deel 5 — de diagnose: is de regeling conform, en zo nee, welk soort niet-conformiteit;</w:t>
      </w:r>
    </w:p>
    <w:p>
      <w:pPr>
        <w:pStyle w:val="ListParagraph"/>
        <w:numPr>
          <w:ilvl w:val="0"/>
          <w:numId w:val="1"/>
        </w:numPr>
        <w:spacing w:after="80"/>
      </w:pPr>
      <w:r>
        <w:rPr>
          <w:rFonts w:ascii="Calibri" w:cs="Calibri" w:eastAsia="Calibri" w:hAnsi="Calibri"/>
          <w:sz w:val="22"/>
          <w:szCs w:val="22"/>
        </w:rPr>
        <w:t xml:space="preserve">deel 6 — de keuze voor of tegen eerbiedigende werking;</w:t>
      </w:r>
    </w:p>
    <w:p>
      <w:pPr>
        <w:pStyle w:val="ListParagraph"/>
        <w:numPr>
          <w:ilvl w:val="0"/>
          <w:numId w:val="1"/>
        </w:numPr>
        <w:spacing w:after="80"/>
      </w:pPr>
      <w:r>
        <w:rPr>
          <w:rFonts w:ascii="Calibri" w:cs="Calibri" w:eastAsia="Calibri" w:hAnsi="Calibri"/>
          <w:sz w:val="22"/>
          <w:szCs w:val="22"/>
        </w:rPr>
        <w:t xml:space="preserve">deel 7 — het transitieplan en de compensatie;</w:t>
      </w:r>
    </w:p>
    <w:p>
      <w:pPr>
        <w:pStyle w:val="ListParagraph"/>
        <w:numPr>
          <w:ilvl w:val="0"/>
          <w:numId w:val="1"/>
        </w:numPr>
        <w:spacing w:after="80"/>
      </w:pPr>
      <w:r>
        <w:rPr>
          <w:rFonts w:ascii="Calibri" w:cs="Calibri" w:eastAsia="Calibri" w:hAnsi="Calibri"/>
          <w:sz w:val="22"/>
          <w:szCs w:val="22"/>
        </w:rPr>
        <w:t xml:space="preserve">deel 8 — de aanpassing van het nabestaandenpensioen;</w:t>
      </w:r>
    </w:p>
    <w:p>
      <w:pPr>
        <w:pStyle w:val="ListParagraph"/>
        <w:numPr>
          <w:ilvl w:val="0"/>
          <w:numId w:val="1"/>
        </w:numPr>
        <w:spacing w:after="80"/>
      </w:pPr>
      <w:r>
        <w:rPr>
          <w:rFonts w:ascii="Calibri" w:cs="Calibri" w:eastAsia="Calibri" w:hAnsi="Calibri"/>
          <w:sz w:val="22"/>
          <w:szCs w:val="22"/>
        </w:rPr>
        <w:t xml:space="preserve">deel 11 — het fiscale rekenwerk;</w:t>
      </w:r>
    </w:p>
    <w:p>
      <w:pPr>
        <w:pStyle w:val="ListParagraph"/>
        <w:numPr>
          <w:ilvl w:val="0"/>
          <w:numId w:val="1"/>
        </w:numPr>
        <w:spacing w:after="80"/>
      </w:pPr>
      <w:r>
        <w:rPr>
          <w:rFonts w:ascii="Calibri" w:cs="Calibri" w:eastAsia="Calibri" w:hAnsi="Calibri"/>
          <w:sz w:val="22"/>
          <w:szCs w:val="22"/>
        </w:rPr>
        <w:t xml:space="preserve">deel 12 en 13 — het product en de uitkeringsfase;</w:t>
      </w:r>
    </w:p>
    <w:p>
      <w:pPr>
        <w:pStyle w:val="ListParagraph"/>
        <w:numPr>
          <w:ilvl w:val="0"/>
          <w:numId w:val="1"/>
        </w:numPr>
        <w:spacing w:after="80"/>
      </w:pPr>
      <w:r>
        <w:rPr>
          <w:rFonts w:ascii="Calibri" w:cs="Calibri" w:eastAsia="Calibri" w:hAnsi="Calibri"/>
          <w:sz w:val="22"/>
          <w:szCs w:val="22"/>
        </w:rPr>
        <w:t xml:space="preserve">deel 14 — het contractproces.</w:t>
      </w:r>
    </w:p>
    <w:p>
      <w:pPr>
        <w:spacing w:after="140" w:line="300"/>
      </w:pPr>
      <w:r>
        <w:rPr>
          <w:rFonts w:ascii="Calibri" w:cs="Calibri" w:eastAsia="Calibri" w:hAnsi="Calibri"/>
          <w:b w:val="false"/>
          <w:bCs w:val="false"/>
          <w:i w:val="false"/>
          <w:iCs w:val="false"/>
          <w:sz w:val="22"/>
          <w:szCs w:val="22"/>
        </w:rPr>
        <w:t xml:space="preserve">Dit deel voegt ze samen tot één doorlopend geheel. Dat is ook waarom het twee dagdelen beslaat: het eerste dagdeel bouwt het volledige stappenplan op met de actuele data en mijlpalen; het tweede dagdeel werkt het stappenplan volledig uit op het dossier van Van Doorn Techniek, inclusief de complicaties die in de praktijk vrijwel altijd opduiken.</w:t>
      </w:r>
    </w:p>
    <w:p>
      <w:pPr>
        <w:spacing w:after="100"/>
      </w:pPr>
    </w:p>
    <w:p>
      <w:pPr>
        <w:pStyle w:val="Heading2"/>
        <w:spacing w:after="120" w:before="200"/>
      </w:pPr>
      <w:r>
        <w:rPr>
          <w:rFonts w:ascii="Georgia" w:cs="Georgia" w:eastAsia="Georgia" w:hAnsi="Georgia"/>
          <w:b/>
          <w:bCs/>
          <w:color w:val="2563A8"/>
          <w:sz w:val="28"/>
          <w:szCs w:val="28"/>
        </w:rPr>
        <w:t xml:space="preserve">DAGDEEL A — Het stappenplan</w:t>
      </w:r>
    </w:p>
    <w:p>
      <w:pPr>
        <w:pStyle w:val="Heading2"/>
        <w:spacing w:after="120" w:before="200"/>
      </w:pPr>
      <w:r>
        <w:rPr>
          <w:rFonts w:ascii="Georgia" w:cs="Georgia" w:eastAsia="Georgia" w:hAnsi="Georgia"/>
          <w:b/>
          <w:bCs/>
          <w:color w:val="2563A8"/>
          <w:sz w:val="28"/>
          <w:szCs w:val="28"/>
        </w:rPr>
        <w:t xml:space="preserve">15.3 De actuele mijlpalen</w:t>
      </w:r>
    </w:p>
    <w:p>
      <w:pPr>
        <w:spacing w:after="140" w:line="300"/>
      </w:pPr>
      <w:r>
        <w:rPr>
          <w:rFonts w:ascii="Calibri" w:cs="Calibri" w:eastAsia="Calibri" w:hAnsi="Calibri"/>
          <w:b w:val="false"/>
          <w:bCs w:val="false"/>
          <w:i w:val="false"/>
          <w:iCs w:val="false"/>
          <w:sz w:val="22"/>
          <w:szCs w:val="22"/>
        </w:rPr>
        <w:t xml:space="preserve">Met de verlenging van de transitieperiode gelden voor verzekerde regelingen (bij een verzekeraar of PPI) de volgende data:</w:t>
      </w:r>
    </w:p>
    <w:p>
      <w:pPr>
        <w:pStyle w:val="ListParagraph"/>
        <w:numPr>
          <w:ilvl w:val="0"/>
          <w:numId w:val="1"/>
        </w:numPr>
        <w:spacing w:after="80"/>
      </w:pPr>
      <w:r>
        <w:rPr>
          <w:rFonts w:ascii="Calibri" w:cs="Calibri" w:eastAsia="Calibri" w:hAnsi="Calibri"/>
          <w:sz w:val="22"/>
          <w:szCs w:val="22"/>
        </w:rPr>
        <w:t xml:space="preserve">Uiterste transitiedatum: 1 januari 2028. Vanaf dat moment moet elke regeling binnen de Wtp-kaders vallen, behoudens geldig overgangsrecht (deel 5 en 6).</w:t>
      </w:r>
    </w:p>
    <w:p>
      <w:pPr>
        <w:pStyle w:val="ListParagraph"/>
        <w:numPr>
          <w:ilvl w:val="0"/>
          <w:numId w:val="1"/>
        </w:numPr>
        <w:spacing w:after="80"/>
      </w:pPr>
      <w:r>
        <w:rPr>
          <w:rFonts w:ascii="Calibri" w:cs="Calibri" w:eastAsia="Calibri" w:hAnsi="Calibri"/>
          <w:sz w:val="22"/>
          <w:szCs w:val="22"/>
        </w:rPr>
        <w:t xml:space="preserve">Uiterste indieningsdatum voor de gewijzigde pensioenovereenkomst en het transitieplan (indien van toepassing): &lt;cite index=“83-1”&gt;1 oktober 2027&lt;/cite&gt;, als de werkgever op het laatst mogelijke moment (1 januari 2028) wil overgaan. &lt;cite index=“83-1”&gt;Gaat de werkgever eerder over, dan geldt er geen wettelijke termijn&lt;/cite&gt; — maar dan gelden de eigen termijnen van de uitvoerder.</w:t>
      </w:r>
    </w:p>
    <w:p>
      <w:pPr>
        <w:pStyle w:val="ListParagraph"/>
        <w:numPr>
          <w:ilvl w:val="0"/>
          <w:numId w:val="1"/>
        </w:numPr>
        <w:spacing w:after="80"/>
      </w:pPr>
      <w:r>
        <w:rPr>
          <w:rFonts w:ascii="Calibri" w:cs="Calibri" w:eastAsia="Calibri" w:hAnsi="Calibri"/>
          <w:sz w:val="22"/>
          <w:szCs w:val="22"/>
        </w:rPr>
        <w:t xml:space="preserve">De keuze vóór of tegen eerbiedigende werking moet uiterlijk vóór die indieningsdatum zijn gemaakt — &lt;cite index=“83-1”&gt;1 oktober 2027 is de facto ook de uiterste datum om de eerbiedigende werking nog te kunnen inroepen voor een nieuwe vlakke premieregeling.&lt;/cite&gt;</w:t>
      </w:r>
    </w:p>
    <w:p>
      <w:pPr>
        <w:pStyle w:val="ListParagraph"/>
        <w:numPr>
          <w:ilvl w:val="0"/>
          <w:numId w:val="1"/>
        </w:numPr>
        <w:spacing w:after="80"/>
      </w:pPr>
      <w:r>
        <w:rPr>
          <w:rFonts w:ascii="Calibri" w:cs="Calibri" w:eastAsia="Calibri" w:hAnsi="Calibri"/>
          <w:sz w:val="22"/>
          <w:szCs w:val="22"/>
        </w:rPr>
        <w:t xml:space="preserve">De fiscale compensatieperiode loopt tot uiterlijk 1 januari 2037 (deel 7) — deze datum staat los van het gekozen transitiemoment.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Let op de omvang van de opgave.</w:t>
      </w:r>
      <w:r>
        <w:rPr>
          <w:rFonts w:ascii="Calibri" w:cs="Calibri" w:eastAsia="Calibri" w:hAnsi="Calibri"/>
          <w:b w:val="false"/>
          <w:bCs w:val="false"/>
          <w:i w:val="false"/>
          <w:iCs w:val="false"/>
          <w:sz w:val="22"/>
          <w:szCs w:val="22"/>
        </w:rPr>
        <w:t xml:space="preserve"> &lt;cite index=“84-1”&gt;Er moeten in de resterende transitieperiode tienduizenden uitvoeringsovereenkomsten worden omgezet, en het tempo bij verzekeraars loopt bij benadering enkele jaren vóór de uiterste datum nog achter op wat nodig is om iedereen tijdig te verwerken — met een duidelijke concentratie van de resterende omzettingen richting het einde van de periode.&lt;/cite&gt; &lt;cite index=“88-1”&gt;Wie wacht tot het laatste kwartaal van 2027, loopt een reëel risico dat tijdige aanpassing niet meer lukt.&lt;/cite&gt;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verschil tussen wettelijke en contractuele deadlines.</w:t>
      </w:r>
      <w:r>
        <w:rPr>
          <w:rFonts w:ascii="Calibri" w:cs="Calibri" w:eastAsia="Calibri" w:hAnsi="Calibri"/>
          <w:b w:val="false"/>
          <w:bCs w:val="false"/>
          <w:i w:val="false"/>
          <w:iCs w:val="false"/>
          <w:sz w:val="22"/>
          <w:szCs w:val="22"/>
        </w:rPr>
        <w:t xml:space="preserve"> Dit is een punt dat in dit deel voortdurend terugkomt: de wettelijke uiterste datum (1 januari 2028) is zelden de datum die het tempo van een individueel dossier bepaalt. Bij Van Doorn ligt de eerste harde deadline op </w:t>
      </w:r>
      <w:r>
        <w:rPr>
          <w:rFonts w:ascii="Calibri" w:cs="Calibri" w:eastAsia="Calibri" w:hAnsi="Calibri"/>
          <w:b/>
          <w:bCs/>
          <w:i w:val="false"/>
          <w:iCs w:val="false"/>
          <w:sz w:val="22"/>
          <w:szCs w:val="22"/>
        </w:rPr>
        <w:t xml:space="preserve">30 juni 2026</w:t>
      </w:r>
      <w:r>
        <w:rPr>
          <w:rFonts w:ascii="Calibri" w:cs="Calibri" w:eastAsia="Calibri" w:hAnsi="Calibri"/>
          <w:b w:val="false"/>
          <w:bCs w:val="false"/>
          <w:i w:val="false"/>
          <w:iCs w:val="false"/>
          <w:sz w:val="22"/>
          <w:szCs w:val="22"/>
        </w:rPr>
        <w:t xml:space="preserve"> — de contractuele opzegtermijn, anderhalf jaar vóór de wettelijke indieningsdatum. Wie alleen naar de wet kijkt, mist zijn eigen, eerder vervallende contract.</w:t>
      </w:r>
    </w:p>
    <w:p>
      <w:pPr>
        <w:spacing w:after="100"/>
      </w:pPr>
    </w:p>
    <w:p>
      <w:pPr>
        <w:pStyle w:val="Heading2"/>
        <w:spacing w:after="120" w:before="200"/>
      </w:pPr>
      <w:r>
        <w:rPr>
          <w:rFonts w:ascii="Georgia" w:cs="Georgia" w:eastAsia="Georgia" w:hAnsi="Georgia"/>
          <w:b/>
          <w:bCs/>
          <w:color w:val="2563A8"/>
          <w:sz w:val="28"/>
          <w:szCs w:val="28"/>
        </w:rPr>
        <w:t xml:space="preserve">15.4 Vijf hoofdkeuzes vóór de indieningstermijn</w:t>
      </w:r>
    </w:p>
    <w:p>
      <w:pPr>
        <w:spacing w:after="140" w:line="300"/>
      </w:pPr>
      <w:r>
        <w:rPr>
          <w:rFonts w:ascii="Calibri" w:cs="Calibri" w:eastAsia="Calibri" w:hAnsi="Calibri"/>
          <w:b w:val="false"/>
          <w:bCs w:val="false"/>
          <w:i w:val="false"/>
          <w:iCs w:val="false"/>
          <w:sz w:val="22"/>
          <w:szCs w:val="22"/>
        </w:rPr>
        <w:t xml:space="preserve">&lt;cite index=“86-1”&gt;Uiterlijk bij de indiening moet aan de uitvoerder zijn doorgegeven hoe de nieuwe regeling eruit gaat zien; daarvoor moeten vijf hoofdkeuzes zijn gemaakt&lt;/cite&gt;, met daarna nog fine-tuning:</w:t>
      </w:r>
    </w:p>
    <w:p>
      <w:pPr>
        <w:pStyle w:val="ListParagraph"/>
        <w:numPr>
          <w:ilvl w:val="0"/>
          <w:numId w:val="1"/>
        </w:numPr>
        <w:spacing w:after="80"/>
      </w:pPr>
      <w:r>
        <w:rPr>
          <w:rFonts w:ascii="Calibri" w:cs="Calibri" w:eastAsia="Calibri" w:hAnsi="Calibri"/>
          <w:sz w:val="22"/>
          <w:szCs w:val="22"/>
        </w:rPr>
        <w:t xml:space="preserve">1. Karakter van de nieuwe regeling. &lt;cite index=“86-1”&gt;Een middelloonregeling mag niet blijven bestaan; nieuwe medewerkers moeten sowieso een vlakke premie krijgen.&lt;/cite&gt; Voor zittende deelnemers in een oude uitkeringsovereenkomst met progressieve premie is er een tussenstap denkbaar (omzetten naar een progressieve premiestaffel als opstap naar de eerbiedigende werking), of een directe omzetting naar een vlakke premie, eventueel met compensatie.</w:t>
      </w:r>
    </w:p>
    <w:p>
      <w:pPr>
        <w:pStyle w:val="ListParagraph"/>
        <w:numPr>
          <w:ilvl w:val="0"/>
          <w:numId w:val="1"/>
        </w:numPr>
        <w:spacing w:after="80"/>
      </w:pPr>
      <w:r>
        <w:rPr>
          <w:rFonts w:ascii="Calibri" w:cs="Calibri" w:eastAsia="Calibri" w:hAnsi="Calibri"/>
          <w:sz w:val="22"/>
          <w:szCs w:val="22"/>
        </w:rPr>
        <w:t xml:space="preserve">2. Wel of geen eerbiedigende werking (deel 6) — &lt;cite index=“86-1”&gt;zittende werknemers mogen hun bestaande, stijgende premieregeling laten uitdienen als daarvoor wordt gekozen; nieuwe werknemers krijgen hoe dan ook een vlakke premie.&lt;/cite&gt;</w:t>
      </w:r>
    </w:p>
    <w:p>
      <w:pPr>
        <w:pStyle w:val="ListParagraph"/>
        <w:numPr>
          <w:ilvl w:val="0"/>
          <w:numId w:val="1"/>
        </w:numPr>
        <w:spacing w:after="80"/>
      </w:pPr>
      <w:r>
        <w:rPr>
          <w:rFonts w:ascii="Calibri" w:cs="Calibri" w:eastAsia="Calibri" w:hAnsi="Calibri"/>
          <w:sz w:val="22"/>
          <w:szCs w:val="22"/>
        </w:rPr>
        <w:t xml:space="preserve">3. De hoogte van de vlakke premie — binnen de fiscale grens uit deel 11.</w:t>
      </w:r>
    </w:p>
    <w:p>
      <w:pPr>
        <w:pStyle w:val="ListParagraph"/>
        <w:numPr>
          <w:ilvl w:val="0"/>
          <w:numId w:val="1"/>
        </w:numPr>
        <w:spacing w:after="80"/>
      </w:pPr>
      <w:r>
        <w:rPr>
          <w:rFonts w:ascii="Calibri" w:cs="Calibri" w:eastAsia="Calibri" w:hAnsi="Calibri"/>
          <w:sz w:val="22"/>
          <w:szCs w:val="22"/>
        </w:rPr>
        <w:t xml:space="preserve">4. De regelingsvorm — solidair of flexibel, hoewel bij verzekerde regelingen doorgaans de flexibele premieregeling of de premie-uitkeringsovereenkomst aan de orde is (deel 3).</w:t>
      </w:r>
    </w:p>
    <w:p>
      <w:pPr>
        <w:pStyle w:val="ListParagraph"/>
        <w:numPr>
          <w:ilvl w:val="0"/>
          <w:numId w:val="1"/>
        </w:numPr>
        <w:spacing w:after="80"/>
      </w:pPr>
      <w:r>
        <w:rPr>
          <w:rFonts w:ascii="Calibri" w:cs="Calibri" w:eastAsia="Calibri" w:hAnsi="Calibri"/>
          <w:sz w:val="22"/>
          <w:szCs w:val="22"/>
        </w:rPr>
        <w:t xml:space="preserve">5. Compensatie — wel of niet, en zo ja hoe (deel 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nabestaandenpensioen is een zesde, vaak vergeten punt.</w:t>
      </w:r>
      <w:r>
        <w:rPr>
          <w:rFonts w:ascii="Calibri" w:cs="Calibri" w:eastAsia="Calibri" w:hAnsi="Calibri"/>
          <w:b w:val="false"/>
          <w:bCs w:val="false"/>
          <w:i w:val="false"/>
          <w:iCs w:val="false"/>
          <w:sz w:val="22"/>
          <w:szCs w:val="22"/>
        </w:rPr>
        <w:t xml:space="preserve"> &lt;cite index=“86-1”&gt;Het nabestaandenpensioen moet voor iedereen worden aangepast, inclusief voor werknemers die onder het overgangsregime voor de progressieve premie vallen.&lt;/cite&gt; Dit is precies de waarschuwing uit deel 6 en 8, hier bevestigd als een punt dat naast de vijf hoofdkeuzes expliciet apart moet worden geagendeerd — het wordt in de praktijk niet automatisch meegenomen als je alleen aan “de vijf keuzes” denkt.</w:t>
      </w:r>
    </w:p>
    <w:p>
      <w:pPr>
        <w:spacing w:after="100"/>
      </w:pPr>
    </w:p>
    <w:p>
      <w:pPr>
        <w:pStyle w:val="Heading2"/>
        <w:spacing w:after="120" w:before="200"/>
      </w:pPr>
      <w:r>
        <w:rPr>
          <w:rFonts w:ascii="Georgia" w:cs="Georgia" w:eastAsia="Georgia" w:hAnsi="Georgia"/>
          <w:b/>
          <w:bCs/>
          <w:color w:val="2563A8"/>
          <w:sz w:val="28"/>
          <w:szCs w:val="28"/>
        </w:rPr>
        <w:t xml:space="preserve">15.5 Het volledige stappenplan</w:t>
      </w:r>
    </w:p>
    <w:p>
      <w:pPr>
        <w:spacing w:after="80" w:before="16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533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15-1 — Het transitiestappenplan als tijdlijn met twaalf stappen, met de verantwoordelijke partij per stap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1 — Werkingssfeer en vrijstelling controleren (deel 4).</w:t>
      </w:r>
      <w:r>
        <w:rPr>
          <w:rFonts w:ascii="Calibri" w:cs="Calibri" w:eastAsia="Calibri" w:hAnsi="Calibri"/>
          <w:b w:val="false"/>
          <w:bCs w:val="false"/>
          <w:i w:val="false"/>
          <w:iCs w:val="false"/>
          <w:sz w:val="22"/>
          <w:szCs w:val="22"/>
        </w:rPr>
        <w:t xml:space="preserve"> Voordat er iets anders gebeurt: is de werkgever vrij om te kiezen, en zo ja, blijft de vrijstelling houdbaar gezien wat het eigen fonds (indien van toepassing) doet?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2 — Diagnose van de bestaande regeling (deel 5).</w:t>
      </w:r>
      <w:r>
        <w:rPr>
          <w:rFonts w:ascii="Calibri" w:cs="Calibri" w:eastAsia="Calibri" w:hAnsi="Calibri"/>
          <w:b w:val="false"/>
          <w:bCs w:val="false"/>
          <w:i w:val="false"/>
          <w:iCs w:val="false"/>
          <w:sz w:val="22"/>
          <w:szCs w:val="22"/>
        </w:rPr>
        <w:t xml:space="preserve"> De vier toetsen. Welk soort niet-conformiteit, A, B of C?</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3 — Inventarisatie (deel 14).</w:t>
      </w:r>
      <w:r>
        <w:rPr>
          <w:rFonts w:ascii="Calibri" w:cs="Calibri" w:eastAsia="Calibri" w:hAnsi="Calibri"/>
          <w:b w:val="false"/>
          <w:bCs w:val="false"/>
          <w:i w:val="false"/>
          <w:iCs w:val="false"/>
          <w:sz w:val="22"/>
          <w:szCs w:val="22"/>
        </w:rPr>
        <w:t xml:space="preserve"> Bestandsgegevens, huidige regeling, doelstellingen van de werkgever.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4 — De hoofdkeuzes voorbereiden (15.4).</w:t>
      </w:r>
      <w:r>
        <w:rPr>
          <w:rFonts w:ascii="Calibri" w:cs="Calibri" w:eastAsia="Calibri" w:hAnsi="Calibri"/>
          <w:b w:val="false"/>
          <w:bCs w:val="false"/>
          <w:i w:val="false"/>
          <w:iCs w:val="false"/>
          <w:sz w:val="22"/>
          <w:szCs w:val="22"/>
        </w:rPr>
        <w:t xml:space="preserve"> Een conceptrichting voor alle vijf (zes) punten, als startpunt voor het overleg met werknemersvertegenwoordiging.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5 — Arbeidsvoorwaardelijk traject (deel 2 en 7).</w:t>
      </w:r>
      <w:r>
        <w:rPr>
          <w:rFonts w:ascii="Calibri" w:cs="Calibri" w:eastAsia="Calibri" w:hAnsi="Calibri"/>
          <w:b w:val="false"/>
          <w:bCs w:val="false"/>
          <w:i w:val="false"/>
          <w:iCs w:val="false"/>
          <w:sz w:val="22"/>
          <w:szCs w:val="22"/>
        </w:rPr>
        <w:t xml:space="preserve"> Overleg met OR of personeelsvertegenwoordiging, formeel instemmingstraject, vastlegging in een transitieplan indien van toepassing.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6 — Fiscale doorrekening (deel 11).</w:t>
      </w:r>
      <w:r>
        <w:rPr>
          <w:rFonts w:ascii="Calibri" w:cs="Calibri" w:eastAsia="Calibri" w:hAnsi="Calibri"/>
          <w:b w:val="false"/>
          <w:bCs w:val="false"/>
          <w:i w:val="false"/>
          <w:iCs w:val="false"/>
          <w:sz w:val="22"/>
          <w:szCs w:val="22"/>
        </w:rPr>
        <w:t xml:space="preserve"> De gekozen premie en franchise concreet doorgerekend, inclusief compensatiebedragen in euro’s per deelnemer.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7 — Offerteaanvraag en productkeuze (deel 12, 13, 14).</w:t>
      </w:r>
      <w:r>
        <w:rPr>
          <w:rFonts w:ascii="Calibri" w:cs="Calibri" w:eastAsia="Calibri" w:hAnsi="Calibri"/>
          <w:b w:val="false"/>
          <w:bCs w:val="false"/>
          <w:i w:val="false"/>
          <w:iCs w:val="false"/>
          <w:sz w:val="22"/>
          <w:szCs w:val="22"/>
        </w:rPr>
        <w:t xml:space="preserve"> Vergelijking op de acht punten, inclusief lifecycle, kosten, garanties, uitkeringsvorm-default en de waarborgvraag bij eventuele overstap.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8 — Contractvorming (deel 14).</w:t>
      </w:r>
      <w:r>
        <w:rPr>
          <w:rFonts w:ascii="Calibri" w:cs="Calibri" w:eastAsia="Calibri" w:hAnsi="Calibri"/>
          <w:b w:val="false"/>
          <w:bCs w:val="false"/>
          <w:i w:val="false"/>
          <w:iCs w:val="false"/>
          <w:sz w:val="22"/>
          <w:szCs w:val="22"/>
        </w:rPr>
        <w:t xml:space="preserve"> Uitvoeringsovereenkomst, pensioenreglement, deelnemersinformatie.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9 — Transitieplan afronden en indienen (deel 7).</w:t>
      </w:r>
      <w:r>
        <w:rPr>
          <w:rFonts w:ascii="Calibri" w:cs="Calibri" w:eastAsia="Calibri" w:hAnsi="Calibri"/>
          <w:b w:val="false"/>
          <w:bCs w:val="false"/>
          <w:i w:val="false"/>
          <w:iCs w:val="false"/>
          <w:sz w:val="22"/>
          <w:szCs w:val="22"/>
        </w:rPr>
        <w:t xml:space="preserve"> Uiterlijk op de van toepassing zijnde termijn bij de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10 — Implementatie bij de uitvoerder.</w:t>
      </w:r>
      <w:r>
        <w:rPr>
          <w:rFonts w:ascii="Calibri" w:cs="Calibri" w:eastAsia="Calibri" w:hAnsi="Calibri"/>
          <w:b w:val="false"/>
          <w:bCs w:val="false"/>
          <w:i w:val="false"/>
          <w:iCs w:val="false"/>
          <w:sz w:val="22"/>
          <w:szCs w:val="22"/>
        </w:rPr>
        <w:t xml:space="preserve"> Dataoverdracht, opbouw van de nieuwe administratie, koppeling van bestaande individuele keuzes (lifecycle-profiel, deel 12) waar relevant.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11 — Communicatie naar deelnemers.</w:t>
      </w:r>
      <w:r>
        <w:rPr>
          <w:rFonts w:ascii="Calibri" w:cs="Calibri" w:eastAsia="Calibri" w:hAnsi="Calibri"/>
          <w:b w:val="false"/>
          <w:bCs w:val="false"/>
          <w:i w:val="false"/>
          <w:iCs w:val="false"/>
          <w:sz w:val="22"/>
          <w:szCs w:val="22"/>
        </w:rPr>
        <w:t xml:space="preserve"> Transitieoverzichten, aangepaste Pensioen 1-2-3, persoonlijke gesprekken voor de gevallen die dat vergen (zoals Karel in deel 8).</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12 — Ingang en nazorg.</w:t>
      </w:r>
      <w:r>
        <w:rPr>
          <w:rFonts w:ascii="Calibri" w:cs="Calibri" w:eastAsia="Calibri" w:hAnsi="Calibri"/>
          <w:b w:val="false"/>
          <w:bCs w:val="false"/>
          <w:i w:val="false"/>
          <w:iCs w:val="false"/>
          <w:sz w:val="22"/>
          <w:szCs w:val="22"/>
        </w:rPr>
        <w:t xml:space="preserve"> De nieuwe regeling gaat in; controleer in de eerste periode extra scherp op mutatieverwerking en op de overgang van bestaande individuele keuzes.</w:t>
      </w:r>
    </w:p>
    <w:p>
      <w:pPr>
        <w:spacing w:after="140" w:line="300"/>
      </w:pPr>
      <w:r>
        <w:rPr>
          <w:rFonts w:ascii="Calibri" w:cs="Calibri" w:eastAsia="Calibri" w:hAnsi="Calibri"/>
          <w:b w:val="false"/>
          <w:bCs w:val="false"/>
          <w:i w:val="false"/>
          <w:iCs w:val="false"/>
          <w:sz w:val="22"/>
          <w:szCs w:val="22"/>
        </w:rPr>
        <w:t xml:space="preserve">Dit stappenplan is geen rechtlijnig proces — stappen 4 tot en met 8 lopen deels parallel en kennen onderlinge afhankelijkheden. Het kritieke pad uit deel 14 bepaalt welke stap de bottleneck vormt.</w:t>
      </w:r>
    </w:p>
    <w:p>
      <w:pPr>
        <w:spacing w:after="100"/>
      </w:pPr>
    </w:p>
    <w:p>
      <w:pPr>
        <w:pStyle w:val="Heading2"/>
        <w:spacing w:after="120" w:before="200"/>
      </w:pPr>
      <w:r>
        <w:rPr>
          <w:rFonts w:ascii="Georgia" w:cs="Georgia" w:eastAsia="Georgia" w:hAnsi="Georgia"/>
          <w:b/>
          <w:bCs/>
          <w:color w:val="2563A8"/>
          <w:sz w:val="28"/>
          <w:szCs w:val="28"/>
        </w:rPr>
        <w:t xml:space="preserve">15.6 Complicaties die in de praktijk vrijwel altijd opduiken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Gemengd bestand met verschillende contractmomenten.</w:t>
      </w:r>
      <w:r>
        <w:rPr>
          <w:rFonts w:ascii="Calibri" w:cs="Calibri" w:eastAsia="Calibri" w:hAnsi="Calibri"/>
          <w:b w:val="false"/>
          <w:bCs w:val="false"/>
          <w:i w:val="false"/>
          <w:iCs w:val="false"/>
          <w:sz w:val="22"/>
          <w:szCs w:val="22"/>
        </w:rPr>
        <w:t xml:space="preserve"> Grotere werkgevers hebben soms meerdere pensioencontracten naast elkaar — bijvoorbeeld door een eerdere overname (deel 6, overgang van onderneming) — met elk hun eigen looptijd. Elk contract kent zijn eigen kritieke pad; zij hoeven niet gelijktijdig te worden omgezet, maar de uiteindelijke regeling moet op enig moment worden geharmoniseerd of bewust naast elkaar blijven bestaan.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Meerdere vestigingen of cao’s.</w:t>
      </w:r>
      <w:r>
        <w:rPr>
          <w:rFonts w:ascii="Calibri" w:cs="Calibri" w:eastAsia="Calibri" w:hAnsi="Calibri"/>
          <w:b w:val="false"/>
          <w:bCs w:val="false"/>
          <w:i w:val="false"/>
          <w:iCs w:val="false"/>
          <w:sz w:val="22"/>
          <w:szCs w:val="22"/>
        </w:rPr>
        <w:t xml:space="preserve"> Bij een werkgever die onder verschillende cao’s valt voor verschillende groepen medewerkers, kan de arbeidsvoorwaardelijke laag (stap 5) uiteenlopen per groep. Dit vermenigvuldigt het aantal te doorlopen trajecten, ook al is er één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Wijzigende omvang van het bestand tijdens het traject.</w:t>
      </w:r>
      <w:r>
        <w:rPr>
          <w:rFonts w:ascii="Calibri" w:cs="Calibri" w:eastAsia="Calibri" w:hAnsi="Calibri"/>
          <w:b w:val="false"/>
          <w:bCs w:val="false"/>
          <w:i w:val="false"/>
          <w:iCs w:val="false"/>
          <w:sz w:val="22"/>
          <w:szCs w:val="22"/>
        </w:rPr>
        <w:t xml:space="preserve"> Een fusie, overname of reorganisatie tijdens de transitie (zoals in deel 6 bij de casus met Kramer) kan de bestandsgegevens uit stap 3 achterhalen vóór stap 10 is afgerond. Bouw hier bewust een hercontrole-moment voor in.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DGA of andere bijzondere posities.</w:t>
      </w:r>
      <w:r>
        <w:rPr>
          <w:rFonts w:ascii="Calibri" w:cs="Calibri" w:eastAsia="Calibri" w:hAnsi="Calibri"/>
          <w:b w:val="false"/>
          <w:bCs w:val="false"/>
          <w:i w:val="false"/>
          <w:iCs w:val="false"/>
          <w:sz w:val="22"/>
          <w:szCs w:val="22"/>
        </w:rPr>
        <w:t xml:space="preserve"> Een dga volgt een eigen route (deel 26) en hoort niet zonder nadere toets in het reguliere bestand te worden meegenomen.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Late betrokkenheid van de OR.</w:t>
      </w:r>
      <w:r>
        <w:rPr>
          <w:rFonts w:ascii="Calibri" w:cs="Calibri" w:eastAsia="Calibri" w:hAnsi="Calibri"/>
          <w:b w:val="false"/>
          <w:bCs w:val="false"/>
          <w:i w:val="false"/>
          <w:iCs w:val="false"/>
          <w:sz w:val="22"/>
          <w:szCs w:val="22"/>
        </w:rPr>
        <w:t xml:space="preserve"> Wordt stap 5 pas laat gestart, dan komt het hele stappenplan onder druk te staan — dit is de fout uit deel 2 (de e-mail van Ferdi) die zich hier op procesniveau herhaalt.</w:t>
      </w:r>
    </w:p>
    <w:p>
      <w:pPr>
        <w:spacing w:after="100"/>
      </w:pPr>
    </w:p>
    <w:p>
      <w:pPr>
        <w:pStyle w:val="Heading2"/>
        <w:spacing w:after="120" w:before="200"/>
      </w:pPr>
      <w:r>
        <w:rPr>
          <w:rFonts w:ascii="Georgia" w:cs="Georgia" w:eastAsia="Georgia" w:hAnsi="Georgia"/>
          <w:b/>
          <w:bCs/>
          <w:color w:val="2563A8"/>
          <w:sz w:val="28"/>
          <w:szCs w:val="28"/>
        </w:rPr>
        <w:t xml:space="preserve">DAGDEEL B — Van Doorn Techniek volledig uitgewerkt</w:t>
      </w:r>
    </w:p>
    <w:p>
      <w:pPr>
        <w:pStyle w:val="Heading2"/>
        <w:spacing w:after="120" w:before="200"/>
      </w:pPr>
      <w:r>
        <w:rPr>
          <w:rFonts w:ascii="Georgia" w:cs="Georgia" w:eastAsia="Georgia" w:hAnsi="Georgia"/>
          <w:b/>
          <w:bCs/>
          <w:color w:val="2563A8"/>
          <w:sz w:val="28"/>
          <w:szCs w:val="28"/>
        </w:rPr>
        <w:t xml:space="preserve">15.7 De volledige transitie van Van Doorn Techniek</w:t>
      </w:r>
    </w:p>
    <w:p>
      <w:pPr>
        <w:spacing w:after="140" w:line="300"/>
      </w:pPr>
      <w:r>
        <w:rPr>
          <w:rFonts w:ascii="Calibri" w:cs="Calibri" w:eastAsia="Calibri" w:hAnsi="Calibri"/>
          <w:b w:val="false"/>
          <w:bCs w:val="false"/>
          <w:i w:val="false"/>
          <w:iCs w:val="false"/>
          <w:sz w:val="22"/>
          <w:szCs w:val="22"/>
        </w:rPr>
        <w:t xml:space="preserve">Dit onderdeel loopt het complete stappenplan uit paragraaf 15.5 na voor Van Doorn Techniek, met de kennis uit alle voorgaande delen samengebracht.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1 — Werkingssfeer en vrijstelling.</w:t>
      </w:r>
      <w:r>
        <w:rPr>
          <w:rFonts w:ascii="Calibri" w:cs="Calibri" w:eastAsia="Calibri" w:hAnsi="Calibri"/>
          <w:b w:val="false"/>
          <w:bCs w:val="false"/>
          <w:i w:val="false"/>
          <w:iCs w:val="false"/>
          <w:sz w:val="22"/>
          <w:szCs w:val="22"/>
        </w:rPr>
        <w:t xml:space="preserve"> Van Doorn is vrijgesteld van Bpf T&amp;I op grond van een bestaande eigen regeling (deel 4). Bpf T&amp;I gaat zelf per 1 januari 2027 over op de solidaire premieregeling. De gelijkwaardigheidstoets moet dus opnieuw worden doorlopen zodra Van Doorns eigen regeling wijzigt — actie: dit tijdig bij het fonds of de eigen adviseur laten bevestigen, ruim vóór de contractwijziging.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2 — Diagnose.</w:t>
      </w:r>
      <w:r>
        <w:rPr>
          <w:rFonts w:ascii="Calibri" w:cs="Calibri" w:eastAsia="Calibri" w:hAnsi="Calibri"/>
          <w:b w:val="false"/>
          <w:bCs w:val="false"/>
          <w:i w:val="false"/>
          <w:iCs w:val="false"/>
          <w:sz w:val="22"/>
          <w:szCs w:val="22"/>
        </w:rPr>
        <w:t xml:space="preserve"> Premieovereenkomst met staffel 8,4–26,1% (soort B), partnerpensioen op opbouwbasis 70% van het te bereiken pensioen (soort C). Twee aparte problemen die apart moeten worden opgelost (deel 5).</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3 — Inventarisatie.</w:t>
      </w:r>
      <w:r>
        <w:rPr>
          <w:rFonts w:ascii="Calibri" w:cs="Calibri" w:eastAsia="Calibri" w:hAnsi="Calibri"/>
          <w:b w:val="false"/>
          <w:bCs w:val="false"/>
          <w:i w:val="false"/>
          <w:iCs w:val="false"/>
          <w:sz w:val="22"/>
          <w:szCs w:val="22"/>
        </w:rPr>
        <w:t xml:space="preserve"> 85 medewerkers, gemiddelde leeftijd 46, bestaand reglement en uitvoeringsovereenkomst bij Meridiaan met looptijd tot en met 31 december 2026.</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4 — Hoofdkeuzes, conceptrichting.</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Karakter: blijft premieovereenkomst.</w:t>
      </w:r>
    </w:p>
    <w:p>
      <w:pPr>
        <w:pStyle w:val="ListParagraph"/>
        <w:numPr>
          <w:ilvl w:val="0"/>
          <w:numId w:val="1"/>
        </w:numPr>
        <w:spacing w:after="80"/>
      </w:pPr>
      <w:r>
        <w:rPr>
          <w:rFonts w:ascii="Calibri" w:cs="Calibri" w:eastAsia="Calibri" w:hAnsi="Calibri"/>
          <w:sz w:val="22"/>
          <w:szCs w:val="22"/>
        </w:rPr>
        <w:t xml:space="preserve">2. Eerbiedigende werking: gezien het gemengde bestand met zowel Karel (58) als Yasmin (26) is dit een echte afweging — niet automatisch de “veilige” keuze (deel 6, het inzicht dat eerbiedigende werking in een jong deel van het bestand juist nadelig kan uitpakken).</w:t>
      </w:r>
    </w:p>
    <w:p>
      <w:pPr>
        <w:pStyle w:val="ListParagraph"/>
        <w:numPr>
          <w:ilvl w:val="0"/>
          <w:numId w:val="1"/>
        </w:numPr>
        <w:spacing w:after="80"/>
      </w:pPr>
      <w:r>
        <w:rPr>
          <w:rFonts w:ascii="Calibri" w:cs="Calibri" w:eastAsia="Calibri" w:hAnsi="Calibri"/>
          <w:sz w:val="22"/>
          <w:szCs w:val="22"/>
        </w:rPr>
        <w:t xml:space="preserve">3. Premiehoogte: voorstel 15%, ruim binnen de fiscale grens (deel 11).</w:t>
      </w:r>
    </w:p>
    <w:p>
      <w:pPr>
        <w:pStyle w:val="ListParagraph"/>
        <w:numPr>
          <w:ilvl w:val="0"/>
          <w:numId w:val="1"/>
        </w:numPr>
        <w:spacing w:after="80"/>
      </w:pPr>
      <w:r>
        <w:rPr>
          <w:rFonts w:ascii="Calibri" w:cs="Calibri" w:eastAsia="Calibri" w:hAnsi="Calibri"/>
          <w:sz w:val="22"/>
          <w:szCs w:val="22"/>
        </w:rPr>
        <w:t xml:space="preserve">4. Vorm: flexibele premieregeling bij een verzekeraar of PPI (deel 3, 12).</w:t>
      </w:r>
    </w:p>
    <w:p>
      <w:pPr>
        <w:pStyle w:val="ListParagraph"/>
        <w:numPr>
          <w:ilvl w:val="0"/>
          <w:numId w:val="1"/>
        </w:numPr>
        <w:spacing w:after="80"/>
      </w:pPr>
      <w:r>
        <w:rPr>
          <w:rFonts w:ascii="Calibri" w:cs="Calibri" w:eastAsia="Calibri" w:hAnsi="Calibri"/>
          <w:sz w:val="22"/>
          <w:szCs w:val="22"/>
        </w:rPr>
        <w:t xml:space="preserve">5. Compensatie: bij het scenario zonder eerbiedigende werking, uitgewerkt in deel 7.</w:t>
      </w:r>
    </w:p>
    <w:p>
      <w:pPr>
        <w:pStyle w:val="ListParagraph"/>
        <w:numPr>
          <w:ilvl w:val="0"/>
          <w:numId w:val="1"/>
        </w:numPr>
        <w:spacing w:after="80"/>
      </w:pPr>
      <w:r>
        <w:rPr>
          <w:rFonts w:ascii="Calibri" w:cs="Calibri" w:eastAsia="Calibri" w:hAnsi="Calibri"/>
          <w:sz w:val="22"/>
          <w:szCs w:val="22"/>
        </w:rPr>
        <w:t xml:space="preserve">6. Nabestaandenpensioen: moet hoe dan ook worden aangepast — ook bij eerbiedigende werking (deel 6 en 8).</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5 — Arbeidsvoorwaardelijk traject.</w:t>
      </w:r>
      <w:r>
        <w:rPr>
          <w:rFonts w:ascii="Calibri" w:cs="Calibri" w:eastAsia="Calibri" w:hAnsi="Calibri"/>
          <w:b w:val="false"/>
          <w:bCs w:val="false"/>
          <w:i w:val="false"/>
          <w:iCs w:val="false"/>
          <w:sz w:val="22"/>
          <w:szCs w:val="22"/>
        </w:rPr>
        <w:t xml:space="preserve"> Overleg met Ilse Groenewold en de OR, met de drie vragen uit deel 7 (waarom deze leeftijdsgrens, wat bij vertrek, waarom niet volledig) als verwacht gespreksonderwerp.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6 — Fiscale doorrekening.</w:t>
      </w:r>
      <w:r>
        <w:rPr>
          <w:rFonts w:ascii="Calibri" w:cs="Calibri" w:eastAsia="Calibri" w:hAnsi="Calibri"/>
          <w:b w:val="false"/>
          <w:bCs w:val="false"/>
          <w:i w:val="false"/>
          <w:iCs w:val="false"/>
          <w:sz w:val="22"/>
          <w:szCs w:val="22"/>
        </w:rPr>
        <w:t xml:space="preserve"> De concrete bedragen uit deel 11: Karel −€ 2.595 per jaar zonder compensatie, Yasmin +€ 1.210 per jaar. Compensatieruimte maximaal € 864,84 per jaar voor Karel binnen de fiscale grens.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7 — Offerteaanvraag.</w:t>
      </w:r>
      <w:r>
        <w:rPr>
          <w:rFonts w:ascii="Calibri" w:cs="Calibri" w:eastAsia="Calibri" w:hAnsi="Calibri"/>
          <w:b w:val="false"/>
          <w:bCs w:val="false"/>
          <w:i w:val="false"/>
          <w:iCs w:val="false"/>
          <w:sz w:val="22"/>
          <w:szCs w:val="22"/>
        </w:rPr>
        <w:t xml:space="preserve"> Route A (doorgaan bij Meridiaan) versus Route B (overstappen), met de waarborgvraag uit deel 14 als doorslaggevend punt bij Route B vanwege Karels acceptatierisico.</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8 — Contractvorming.</w:t>
      </w:r>
      <w:r>
        <w:rPr>
          <w:rFonts w:ascii="Calibri" w:cs="Calibri" w:eastAsia="Calibri" w:hAnsi="Calibri"/>
          <w:b w:val="false"/>
          <w:bCs w:val="false"/>
          <w:i w:val="false"/>
          <w:iCs w:val="false"/>
          <w:sz w:val="22"/>
          <w:szCs w:val="22"/>
        </w:rPr>
        <w:t xml:space="preserve"> Nieuwe of vernieuwde uitvoeringsovereenkomst, met expliciete aandacht voor de bepaling over achterblijvend kapitaal bij een eventuele latere contractwissel (deel 2 en 5).</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9 — Transitieplan.</w:t>
      </w:r>
      <w:r>
        <w:rPr>
          <w:rFonts w:ascii="Calibri" w:cs="Calibri" w:eastAsia="Calibri" w:hAnsi="Calibri"/>
          <w:b w:val="false"/>
          <w:bCs w:val="false"/>
          <w:i w:val="false"/>
          <w:iCs w:val="false"/>
          <w:sz w:val="22"/>
          <w:szCs w:val="22"/>
        </w:rPr>
        <w:t xml:space="preserve"> Nodig als niet volledig voor eerbiedigende werking wordt gekozen (deel 7); anders optioneel maar aan te raden als vastlegging.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10 — Implementatie.</w:t>
      </w:r>
      <w:r>
        <w:rPr>
          <w:rFonts w:ascii="Calibri" w:cs="Calibri" w:eastAsia="Calibri" w:hAnsi="Calibri"/>
          <w:b w:val="false"/>
          <w:bCs w:val="false"/>
          <w:i w:val="false"/>
          <w:iCs w:val="false"/>
          <w:sz w:val="22"/>
          <w:szCs w:val="22"/>
        </w:rPr>
        <w:t xml:space="preserve"> Met specifieke aandacht voor het meenemen van bestaande individuele lifecycle-keuzes (deel 12, het incident uit opdracht 12.8) en voor de positie van eventuele arbeidsongeschikte medewerkers op het transitiemoment (deel 8).</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11 — Communicatie.</w:t>
      </w:r>
      <w:r>
        <w:rPr>
          <w:rFonts w:ascii="Calibri" w:cs="Calibri" w:eastAsia="Calibri" w:hAnsi="Calibri"/>
          <w:b w:val="false"/>
          <w:bCs w:val="false"/>
          <w:i w:val="false"/>
          <w:iCs w:val="false"/>
          <w:sz w:val="22"/>
          <w:szCs w:val="22"/>
        </w:rPr>
        <w:t xml:space="preserve"> In het bijzonder het gesprek van Anouk met Karel over het nabestaandenpensioen (deel 8), gevoerd vóórdat de nieuwe regeling ingaat, niet erna.</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Stap 12 — Ingang en nazorg.</w:t>
      </w:r>
      <w:r>
        <w:rPr>
          <w:rFonts w:ascii="Calibri" w:cs="Calibri" w:eastAsia="Calibri" w:hAnsi="Calibri"/>
          <w:b w:val="false"/>
          <w:bCs w:val="false"/>
          <w:i w:val="false"/>
          <w:iCs w:val="false"/>
          <w:sz w:val="22"/>
          <w:szCs w:val="22"/>
        </w:rPr>
        <w:t xml:space="preserve"> Ingangsdatum 1 januari 2027, met extra controle op mutatieverwerking in de eerste maanden.</w:t>
      </w:r>
    </w:p>
    <w:p>
      <w:pPr>
        <w:spacing w:after="100"/>
      </w:pPr>
    </w:p>
    <w:p>
      <w:pPr>
        <w:pStyle w:val="Heading2"/>
        <w:spacing w:after="120" w:before="200"/>
      </w:pPr>
      <w:r>
        <w:rPr>
          <w:rFonts w:ascii="Georgia" w:cs="Georgia" w:eastAsia="Georgia" w:hAnsi="Georgia"/>
          <w:b/>
          <w:bCs/>
          <w:color w:val="2563A8"/>
          <w:sz w:val="28"/>
          <w:szCs w:val="28"/>
        </w:rPr>
        <w:t xml:space="preserve">15.8 Wat er structureel misgaat bij verzekerde transities</w:t>
      </w:r>
    </w:p>
    <w:p>
      <w:pPr>
        <w:spacing w:after="140" w:line="300"/>
      </w:pPr>
      <w:r>
        <w:rPr>
          <w:rFonts w:ascii="Calibri" w:cs="Calibri" w:eastAsia="Calibri" w:hAnsi="Calibri"/>
          <w:b w:val="false"/>
          <w:bCs w:val="false"/>
          <w:i w:val="false"/>
          <w:iCs w:val="false"/>
          <w:sz w:val="22"/>
          <w:szCs w:val="22"/>
        </w:rPr>
        <w:t xml:space="preserve">Deze cursus heeft door alle voorgaande delen heen losse fouten benoemd. Op transitieniveau clusteren zij in vijf patronen:</w:t>
      </w:r>
    </w:p>
    <w:p>
      <w:pPr>
        <w:pStyle w:val="ListParagraph"/>
        <w:numPr>
          <w:ilvl w:val="0"/>
          <w:numId w:val="1"/>
        </w:numPr>
        <w:spacing w:after="80"/>
      </w:pPr>
      <w:r>
        <w:rPr>
          <w:rFonts w:ascii="Calibri" w:cs="Calibri" w:eastAsia="Calibri" w:hAnsi="Calibri"/>
          <w:sz w:val="22"/>
          <w:szCs w:val="22"/>
        </w:rPr>
        <w:t xml:space="preserve">1. De wettelijke datum wordt verward met de eigen deadline (deel 5, 7, 14). Oplossing: altijd achteruit rekenen vanaf het eigen contract, nooit vanaf 1 januari 2028.</w:t>
      </w:r>
    </w:p>
    <w:p>
      <w:pPr>
        <w:pStyle w:val="ListParagraph"/>
        <w:numPr>
          <w:ilvl w:val="0"/>
          <w:numId w:val="1"/>
        </w:numPr>
        <w:spacing w:after="80"/>
      </w:pPr>
      <w:r>
        <w:rPr>
          <w:rFonts w:ascii="Calibri" w:cs="Calibri" w:eastAsia="Calibri" w:hAnsi="Calibri"/>
          <w:sz w:val="22"/>
          <w:szCs w:val="22"/>
        </w:rPr>
        <w:t xml:space="preserve">2. Het nabestaandenpensioen wordt behandeld als bijzaak van de premiediscussie (deel 6, 8). Oplossing: expliciet als apart agendapunt, ook bij eerbiedigende werking.</w:t>
      </w:r>
    </w:p>
    <w:p>
      <w:pPr>
        <w:pStyle w:val="ListParagraph"/>
        <w:numPr>
          <w:ilvl w:val="0"/>
          <w:numId w:val="1"/>
        </w:numPr>
        <w:spacing w:after="80"/>
      </w:pPr>
      <w:r>
        <w:rPr>
          <w:rFonts w:ascii="Calibri" w:cs="Calibri" w:eastAsia="Calibri" w:hAnsi="Calibri"/>
          <w:sz w:val="22"/>
          <w:szCs w:val="22"/>
        </w:rPr>
        <w:t xml:space="preserve">3. De acceptatievraag bij overstap wordt niet bedongen (deel 14). Oplossing: de waarborg als harde voorwaarde bij elke offertevergelijking waarin overstap wordt overwogen.</w:t>
      </w:r>
    </w:p>
    <w:p>
      <w:pPr>
        <w:pStyle w:val="ListParagraph"/>
        <w:numPr>
          <w:ilvl w:val="0"/>
          <w:numId w:val="1"/>
        </w:numPr>
        <w:spacing w:after="80"/>
      </w:pPr>
      <w:r>
        <w:rPr>
          <w:rFonts w:ascii="Calibri" w:cs="Calibri" w:eastAsia="Calibri" w:hAnsi="Calibri"/>
          <w:sz w:val="22"/>
          <w:szCs w:val="22"/>
        </w:rPr>
        <w:t xml:space="preserve">4. Compensatie wordt gepresenteerd als bedrag in plaats van als onderbouwd voorstel (deel 7). Oplossing: de zeven beoordelingsvragen, elke keer opnieuw.</w:t>
      </w:r>
    </w:p>
    <w:p>
      <w:pPr>
        <w:pStyle w:val="ListParagraph"/>
        <w:numPr>
          <w:ilvl w:val="0"/>
          <w:numId w:val="1"/>
        </w:numPr>
        <w:spacing w:after="80"/>
      </w:pPr>
      <w:r>
        <w:rPr>
          <w:rFonts w:ascii="Calibri" w:cs="Calibri" w:eastAsia="Calibri" w:hAnsi="Calibri"/>
          <w:sz w:val="22"/>
          <w:szCs w:val="22"/>
        </w:rPr>
        <w:t xml:space="preserve">5. De OR wordt te laat of te oppervlakkig betrokken (deel 2, 7). Oplossing: stap 5 start parallel aan stap 3-4, niet na afronding daarvan.</w:t>
      </w:r>
    </w:p>
    <w:p>
      <w:pPr>
        <w:spacing w:after="100"/>
      </w:pPr>
    </w:p>
    <w:p>
      <w:pPr>
        <w:pStyle w:val="Heading2"/>
        <w:spacing w:after="120" w:before="200"/>
      </w:pPr>
      <w:r>
        <w:rPr>
          <w:rFonts w:ascii="Georgia" w:cs="Georgia" w:eastAsia="Georgia" w:hAnsi="Georgia"/>
          <w:b/>
          <w:bCs/>
          <w:color w:val="2563A8"/>
          <w:sz w:val="28"/>
          <w:szCs w:val="28"/>
        </w:rPr>
        <w:t xml:space="preserve">15.9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Uiterste transitiedatum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januari 2028 — vanaf dan moet elke regeling Wtp-conform zijn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Uiterste indieningsdatum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oktober 2027 — laatste moment om bij het laatste transitiemoment aan te leveren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hoofdkeuzes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Karakter, eerbiedigende werking, premiehoogte, vorm, compensatie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Kritiek pad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opeenvolging van stappen die de minimale doorlooptijd bepaalt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Harmonisatie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Samenvoegen van meerdere naast elkaar bestaande regelingen tot één</w:t>
            </w:r>
          </w:p>
        </w:tc>
      </w:tr>
    </w:tbl>
    <w:p>
      <w:pPr>
        <w:spacing w:after="100"/>
      </w:pPr>
    </w:p>
    <w:p>
      <w:pPr>
        <w:pStyle w:val="Heading2"/>
        <w:spacing w:after="120" w:before="200"/>
      </w:pPr>
      <w:r>
        <w:rPr>
          <w:rFonts w:ascii="Georgia" w:cs="Georgia" w:eastAsia="Georgia" w:hAnsi="Georgia"/>
          <w:b/>
          <w:bCs/>
          <w:color w:val="2563A8"/>
          <w:sz w:val="28"/>
          <w:szCs w:val="28"/>
        </w:rPr>
        <w:t xml:space="preserve">15.10 Samenvatting</w:t>
      </w:r>
    </w:p>
    <w:p>
      <w:pPr>
        <w:pStyle w:val="ListParagraph"/>
        <w:numPr>
          <w:ilvl w:val="0"/>
          <w:numId w:val="1"/>
        </w:numPr>
        <w:spacing w:after="80"/>
      </w:pPr>
      <w:r>
        <w:rPr>
          <w:rFonts w:ascii="Calibri" w:cs="Calibri" w:eastAsia="Calibri" w:hAnsi="Calibri"/>
          <w:sz w:val="22"/>
          <w:szCs w:val="22"/>
        </w:rPr>
        <w:t xml:space="preserve">De uiterste transitiedatum is 1 januari 2028; de uiterste indieningsdatum voor verzekerde regelingen is 1 oktober 2027 — en dat is ook de facto de uiterste datum voor de keuze rond eerbiedigende werking.</w:t>
      </w:r>
    </w:p>
    <w:p>
      <w:pPr>
        <w:pStyle w:val="ListParagraph"/>
        <w:numPr>
          <w:ilvl w:val="0"/>
          <w:numId w:val="1"/>
        </w:numPr>
        <w:spacing w:after="80"/>
      </w:pPr>
      <w:r>
        <w:rPr>
          <w:rFonts w:ascii="Calibri" w:cs="Calibri" w:eastAsia="Calibri" w:hAnsi="Calibri"/>
          <w:sz w:val="22"/>
          <w:szCs w:val="22"/>
        </w:rPr>
        <w:t xml:space="preserve">Contractuele deadlines liggen bijna altijd vóór de wettelijke datum; reken altijd vanaf het eigen contract.</w:t>
      </w:r>
    </w:p>
    <w:p>
      <w:pPr>
        <w:pStyle w:val="ListParagraph"/>
        <w:numPr>
          <w:ilvl w:val="0"/>
          <w:numId w:val="1"/>
        </w:numPr>
        <w:spacing w:after="80"/>
      </w:pPr>
      <w:r>
        <w:rPr>
          <w:rFonts w:ascii="Calibri" w:cs="Calibri" w:eastAsia="Calibri" w:hAnsi="Calibri"/>
          <w:sz w:val="22"/>
          <w:szCs w:val="22"/>
        </w:rPr>
        <w:t xml:space="preserve">Er zijn vijf hoofdkeuzes plus het vaak vergeten zesde punt: het nabestaandenpensioen.</w:t>
      </w:r>
    </w:p>
    <w:p>
      <w:pPr>
        <w:pStyle w:val="ListParagraph"/>
        <w:numPr>
          <w:ilvl w:val="0"/>
          <w:numId w:val="1"/>
        </w:numPr>
        <w:spacing w:after="80"/>
      </w:pPr>
      <w:r>
        <w:rPr>
          <w:rFonts w:ascii="Calibri" w:cs="Calibri" w:eastAsia="Calibri" w:hAnsi="Calibri"/>
          <w:sz w:val="22"/>
          <w:szCs w:val="22"/>
        </w:rPr>
        <w:t xml:space="preserve">Het volledige stappenplan telt twaalf stappen, met onderlinge afhankelijkheden en een kritiek pad dat vaak zes tot negen maanden beslaat.</w:t>
      </w:r>
    </w:p>
    <w:p>
      <w:pPr>
        <w:pStyle w:val="ListParagraph"/>
        <w:numPr>
          <w:ilvl w:val="0"/>
          <w:numId w:val="1"/>
        </w:numPr>
        <w:spacing w:after="80"/>
      </w:pPr>
      <w:r>
        <w:rPr>
          <w:rFonts w:ascii="Calibri" w:cs="Calibri" w:eastAsia="Calibri" w:hAnsi="Calibri"/>
          <w:sz w:val="22"/>
          <w:szCs w:val="22"/>
        </w:rPr>
        <w:t xml:space="preserve">Complicaties als gemengde bestanden, meerdere cao’s en tussentijdse fusies vragen om extra hercontrolemomenten.</w:t>
      </w:r>
    </w:p>
    <w:p>
      <w:pPr>
        <w:pStyle w:val="ListParagraph"/>
        <w:numPr>
          <w:ilvl w:val="0"/>
          <w:numId w:val="1"/>
        </w:numPr>
        <w:spacing w:after="80"/>
      </w:pPr>
      <w:r>
        <w:rPr>
          <w:rFonts w:ascii="Calibri" w:cs="Calibri" w:eastAsia="Calibri" w:hAnsi="Calibri"/>
          <w:sz w:val="22"/>
          <w:szCs w:val="22"/>
        </w:rPr>
        <w:t xml:space="preserve">Vijf structurele fouten liggen ten grondslag aan de meeste vertragingen en geschillen; elk daarvan is in een eerder deel van deze cursus al apart behandeld.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16.</w:t>
      </w:r>
      <w:r>
        <w:rPr>
          <w:rFonts w:ascii="Calibri" w:cs="Calibri" w:eastAsia="Calibri" w:hAnsi="Calibri"/>
          <w:b w:val="false"/>
          <w:bCs w:val="false"/>
          <w:i w:val="false"/>
          <w:iCs w:val="false"/>
          <w:sz w:val="22"/>
          <w:szCs w:val="22"/>
        </w:rPr>
        <w:t xml:space="preserve"> Dit deel behandelde de transitie van de lopende opbouw. Deel 16 behandelt het lot van wat er al stond: waardeoverdracht in volle breedte, en de collectieve omzetting — invaren — zoals die bij pensioenfondsen plaatsvindt. Daarmee wordt de cirkel naar de fondsenwereld, opengelaten sinds deel 5, weer gesloten.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02c347087d6137693a8246ae383c051a20fa5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2026-08-17T11:22:45.113Z</dcterms:created>
  <dcterms:modified xsi:type="dcterms:W3CDTF">2026-08-17T11:22:45.113Z</dcterms:modified>
</cp:coreProperties>
</file>

<file path=docProps/custom.xml><?xml version="1.0" encoding="utf-8"?>
<Properties xmlns="http://schemas.openxmlformats.org/officeDocument/2006/custom-properties" xmlns:vt="http://schemas.openxmlformats.org/officeDocument/2006/docPropsVTypes"/>
</file>