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15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15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 · Twee dagdelen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DAGDEEL A</w:t>
      </w:r>
    </w:p>
    <w:p>
      <w:pPr>
        <w:pStyle w:val="Heading2"/>
        <w:spacing w:after="120" w:before="200"/>
      </w:pPr>
      <w:r>
        <w:rPr>
          <w:rFonts w:ascii="Georgia" w:cs="Georgia" w:eastAsia="Georgia" w:hAnsi="Georgia"/>
          <w:b/>
          <w:bCs/>
          <w:color w:val="2563A8"/>
          <w:sz w:val="28"/>
          <w:szCs w:val="28"/>
        </w:rPr>
        <w:t xml:space="preserve">Opdracht 15.1 — De twee deadlines uit elkaar houden</w:t>
      </w:r>
    </w:p>
    <w:p>
      <w:pPr>
        <w:spacing w:after="140" w:line="300"/>
      </w:pPr>
      <w:r>
        <w:rPr>
          <w:rFonts w:ascii="Calibri" w:cs="Calibri" w:eastAsia="Calibri" w:hAnsi="Calibri"/>
          <w:b w:val="false"/>
          <w:bCs w:val="false"/>
          <w:i w:val="false"/>
          <w:iCs w:val="false"/>
          <w:sz w:val="22"/>
          <w:szCs w:val="22"/>
        </w:rPr>
        <w:t xml:space="preserve">Een collega zegt: “We hebben tot 1 januari 2028, dus we kunnen nog rustig een jaar wachten.”</w:t>
      </w:r>
    </w:p>
    <w:p>
      <w:pPr>
        <w:spacing w:after="140" w:line="300"/>
      </w:pPr>
      <w:r>
        <w:rPr>
          <w:rFonts w:ascii="Calibri" w:cs="Calibri" w:eastAsia="Calibri" w:hAnsi="Calibri"/>
          <w:b w:val="false"/>
          <w:bCs w:val="false"/>
          <w:i w:val="false"/>
          <w:iCs w:val="false"/>
          <w:sz w:val="22"/>
          <w:szCs w:val="22"/>
        </w:rPr>
        <w:t xml:space="preserve">a. Welke twee deadlines loopt hij door elkaar?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voor een willekeurige werkgever met een verzekerde regeling het eerste concrete moment waarop actie nodig is, als hij op het laatst mogelijke moment wil overgaan?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is voor Van Doorn Techniek specifiek het eerste concrete moment?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wettelijke uiterste transitiedatum (1 januari 2028, het moment waarop alles klaar moet zijn) en de uiterste indieningsdatum (1 oktober 2027, het laatste moment om nog aan te leveren bij de uitvoerder als je op 1 januari 2028 wilt overgaan). Beide zijn weer iets anders dan de eigen contractuele deadline.</w:t>
      </w:r>
    </w:p>
    <w:p>
      <w:pPr>
        <w:spacing w:after="140" w:line="300"/>
      </w:pPr>
      <w:r>
        <w:rPr>
          <w:rFonts w:ascii="Calibri" w:cs="Calibri" w:eastAsia="Calibri" w:hAnsi="Calibri"/>
          <w:b w:val="false"/>
          <w:bCs w:val="false"/>
          <w:i w:val="false"/>
          <w:iCs w:val="false"/>
          <w:sz w:val="22"/>
          <w:szCs w:val="22"/>
        </w:rPr>
        <w:t xml:space="preserve">b. De uiterste indieningsdatum van 1 oktober 2027 — maar dat is al de allerlaatste marge; verstandiger is te plannen vanaf de eigen contractdatum.</w:t>
      </w:r>
    </w:p>
    <w:p>
      <w:pPr>
        <w:spacing w:after="140" w:line="300"/>
      </w:pPr>
      <w:r>
        <w:rPr>
          <w:rFonts w:ascii="Calibri" w:cs="Calibri" w:eastAsia="Calibri" w:hAnsi="Calibri"/>
          <w:b w:val="false"/>
          <w:bCs w:val="false"/>
          <w:i w:val="false"/>
          <w:iCs w:val="false"/>
          <w:sz w:val="22"/>
          <w:szCs w:val="22"/>
        </w:rPr>
        <w:t xml:space="preserve">c. De opzegtermijn van het contract met Meridiaan, 30 juni 2026 — meer dan een jaar vóór de wettelijke indieningsdatum.</w:t>
      </w:r>
    </w:p>
    <w:p>
      <w:pPr>
        <w:spacing w:after="100"/>
      </w:pPr>
    </w:p>
    <w:p>
      <w:pPr>
        <w:pStyle w:val="Heading2"/>
        <w:spacing w:after="120" w:before="200"/>
      </w:pPr>
      <w:r>
        <w:rPr>
          <w:rFonts w:ascii="Georgia" w:cs="Georgia" w:eastAsia="Georgia" w:hAnsi="Georgia"/>
          <w:b/>
          <w:bCs/>
          <w:color w:val="2563A8"/>
          <w:sz w:val="28"/>
          <w:szCs w:val="28"/>
        </w:rPr>
        <w:t xml:space="preserve">Opdracht 15.2 — De vijf (zes) hoofdkeuzes toepassen</w:t>
      </w:r>
    </w:p>
    <w:p>
      <w:pPr>
        <w:spacing w:after="140" w:line="300"/>
      </w:pPr>
      <w:r>
        <w:rPr>
          <w:rFonts w:ascii="Calibri" w:cs="Calibri" w:eastAsia="Calibri" w:hAnsi="Calibri"/>
          <w:b w:val="false"/>
          <w:bCs w:val="false"/>
          <w:i w:val="false"/>
          <w:iCs w:val="false"/>
          <w:sz w:val="22"/>
          <w:szCs w:val="22"/>
        </w:rPr>
        <w:t xml:space="preserve">Vul voor een fictieve werkgever met 40 medewerkers, een middelloonregeling en een gemiddelde leeftijd van 51 de zes punten uit paragraaf 15.4 in met een voorlopige richting, en motiveer elke keuze in één zin.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geen uniek antwoord). 1. Karakter: moet sowieso naar een premieovereenkomst, middelloon is niet houdbaar. 2. Eerbiedigende werking: niet van toepassing in de klassieke vorm, want er was geen progressieve premie om te eerbiedigen — wel relevant is de vraag of de regeling eerst wordt omgezet naar een progressieve premiestaffel als opstap, met alle nadelen van twee regelingen (deel 6) die daarbij horen. 3. Premiehoogte: te bepalen na fiscale doorrekening (deel 11), met oog voor het oudere bestand. 4. Vorm: flexibele premieregeling, gezien het ontbreken van een collectieve traditie bij een individuele werkgever. 5. Compensatie: waarschijnlijk nodig gezien de gemiddelde leeftijd van 51 en de overstap van een uitkeringsovereenkomst — dit nadeel is doorgaans groter dan bij een overstap vanuit een progressieve premie. 6. Nabestaandenpensioen: zeker aan te passen, met expliciete aandacht gezien het oudere bestand (deel 8, “wie wint, wie verliest”).</w:t>
            </w:r>
          </w:p>
        </w:tc>
      </w:tr>
    </w:tbl>
    <w:p>
      <w:pPr>
        <w:spacing w:after="140" w:line="300"/>
      </w:pPr>
      <w:r>
        <w:rPr>
          <w:rFonts w:ascii="Calibri" w:cs="Calibri" w:eastAsia="Calibri" w:hAnsi="Calibri"/>
          <w:b w:val="false"/>
          <w:bCs w:val="false"/>
          <w:i w:val="false"/>
          <w:iCs w:val="false"/>
          <w:sz w:val="22"/>
          <w:szCs w:val="22"/>
        </w:rPr>
        <w:t xml:space="preserve">Beoordelingslijn: punt 2 is de valkuil — deelnemers die hier automatisch “eerbiedigende werking toepassen” invullen, hebben niet gezien dat een middelloonregeling geen progressieve premie is om te eerbiedigen.</w:t>
      </w:r>
    </w:p>
    <w:p>
      <w:pPr>
        <w:spacing w:after="100"/>
      </w:pPr>
    </w:p>
    <w:p>
      <w:pPr>
        <w:pStyle w:val="Heading2"/>
        <w:spacing w:after="120" w:before="200"/>
      </w:pPr>
      <w:r>
        <w:rPr>
          <w:rFonts w:ascii="Georgia" w:cs="Georgia" w:eastAsia="Georgia" w:hAnsi="Georgia"/>
          <w:b/>
          <w:bCs/>
          <w:color w:val="2563A8"/>
          <w:sz w:val="28"/>
          <w:szCs w:val="28"/>
        </w:rPr>
        <w:t xml:space="preserve">Opdracht 15.3 — Het stappenplan ordenen</w:t>
      </w:r>
    </w:p>
    <w:p>
      <w:pPr>
        <w:spacing w:after="140" w:line="300"/>
      </w:pPr>
      <w:r>
        <w:rPr>
          <w:rFonts w:ascii="Calibri" w:cs="Calibri" w:eastAsia="Calibri" w:hAnsi="Calibri"/>
          <w:b w:val="false"/>
          <w:bCs w:val="false"/>
          <w:i w:val="false"/>
          <w:iCs w:val="false"/>
          <w:sz w:val="22"/>
          <w:szCs w:val="22"/>
        </w:rPr>
        <w:t xml:space="preserve">Zet de volgende activiteiten in de juiste volgorde volgens het twaalfstappenplan uit paragraaf 15.5, en benoem welke twee stappen in de praktijk vrijwel altijd overlappen.</w:t>
      </w:r>
    </w:p>
    <w:p>
      <w:pPr>
        <w:spacing w:after="140" w:line="300"/>
      </w:pPr>
      <w:r>
        <w:rPr>
          <w:rFonts w:ascii="Calibri" w:cs="Calibri" w:eastAsia="Calibri" w:hAnsi="Calibri"/>
          <w:b w:val="false"/>
          <w:bCs w:val="false"/>
          <w:i w:val="false"/>
          <w:iCs w:val="false"/>
          <w:sz w:val="22"/>
          <w:szCs w:val="22"/>
        </w:rPr>
        <w:t xml:space="preserve">a. Transitieplan indienen bij de uitvoerder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Werkingssfeer- en vrijstellingscontrole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Communicatie naar deelnemers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Offerteaanvraag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e. Diagnose van de bestaande 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f. OR-instemmingstraject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Volgorde: b (stap 1) → e (stap 2) → f (stap 5, maar gestart parallel aan stap 3-4) → d (stap 7) → a (stap 9) → c (stap 11). Overlap: het OR-traject (f) en de voorbereiding van de hoofdkeuzes/offerteaanvraag (stap 4 en d) lopen in de praktijk vrijwel altijd parallel — je kunt niet wachten met offertes vragen tot de OR volledig heeft ingestemd, want dan is er niets concreets om over te onderhandelen; tegelijk kun je niet contracteren zonder instemming. Dit is precies de spanning die in deel 2 al werd benoemd.</w:t>
            </w:r>
          </w:p>
        </w:tc>
      </w:tr>
    </w:tbl>
    <w:p>
      <w:pPr>
        <w:spacing w:after="100"/>
      </w:pPr>
    </w:p>
    <w:p>
      <w:pPr>
        <w:pStyle w:val="Heading2"/>
        <w:spacing w:after="120" w:before="200"/>
      </w:pPr>
      <w:r>
        <w:rPr>
          <w:rFonts w:ascii="Georgia" w:cs="Georgia" w:eastAsia="Georgia" w:hAnsi="Georgia"/>
          <w:b/>
          <w:bCs/>
          <w:color w:val="2563A8"/>
          <w:sz w:val="28"/>
          <w:szCs w:val="28"/>
        </w:rPr>
        <w:t xml:space="preserve">Opdracht 15.4 — Complicaties herkennen</w:t>
      </w:r>
    </w:p>
    <w:p>
      <w:pPr>
        <w:spacing w:after="140" w:line="300"/>
      </w:pPr>
      <w:r>
        <w:rPr>
          <w:rFonts w:ascii="Calibri" w:cs="Calibri" w:eastAsia="Calibri" w:hAnsi="Calibri"/>
          <w:b w:val="false"/>
          <w:bCs w:val="false"/>
          <w:i w:val="false"/>
          <w:iCs w:val="false"/>
          <w:sz w:val="22"/>
          <w:szCs w:val="22"/>
        </w:rPr>
        <w:t xml:space="preserve">Welke complicatie uit paragraaf 15.6 speelt in elk scenario?</w:t>
      </w:r>
    </w:p>
    <w:p>
      <w:pPr>
        <w:spacing w:after="140" w:line="300"/>
      </w:pPr>
      <w:r>
        <w:rPr>
          <w:rFonts w:ascii="Calibri" w:cs="Calibri" w:eastAsia="Calibri" w:hAnsi="Calibri"/>
          <w:b w:val="false"/>
          <w:bCs w:val="false"/>
          <w:i w:val="false"/>
          <w:iCs w:val="false"/>
          <w:sz w:val="22"/>
          <w:szCs w:val="22"/>
        </w:rPr>
        <w:t xml:space="preserve">a. Een werkgever met een productievestiging onder de metaal-cao en een kantoorvestiging onder een eigen ondernemings-cao.</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werkgever die halverwege het transitietraject een concurrent overneemt met een eigen, nog niet omgezette 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werkgever waarvan de directeur-grootaandeelhouder zonder nadere toets in het reguliere bestand wordt meegenomen.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OR die pas wordt geïnformeerd nadat de offerte al is geaccepteerd.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meerdere cao’s, vermenigvuldigt het aantal arbeidsvoorwaardelijke trajecten. b: wijzigende bestandsomvang tijdens het traject, vergt een hercontrolemoment. c: de dga-positie, moet apart worden getoetst (deel 26). d: late betrokkenheid van de OR, met het risico dat het hele stappenplan onder druk komt te staan — dezelfde fout als de e-mail van Ferdi in deel 2.</w:t>
            </w:r>
          </w:p>
        </w:tc>
      </w:tr>
    </w:tbl>
    <w:p>
      <w:pPr>
        <w:spacing w:after="100"/>
      </w:pPr>
    </w:p>
    <w:p>
      <w:pPr>
        <w:pStyle w:val="Heading2"/>
        <w:spacing w:after="120" w:before="200"/>
      </w:pPr>
      <w:r>
        <w:rPr>
          <w:rFonts w:ascii="Georgia" w:cs="Georgia" w:eastAsia="Georgia" w:hAnsi="Georgia"/>
          <w:b/>
          <w:bCs/>
          <w:color w:val="2563A8"/>
          <w:sz w:val="28"/>
          <w:szCs w:val="28"/>
        </w:rPr>
        <w:t xml:space="preserve">DAGDEEL B</w:t>
      </w:r>
    </w:p>
    <w:p>
      <w:pPr>
        <w:pStyle w:val="Heading2"/>
        <w:spacing w:after="120" w:before="200"/>
      </w:pPr>
      <w:r>
        <w:rPr>
          <w:rFonts w:ascii="Georgia" w:cs="Georgia" w:eastAsia="Georgia" w:hAnsi="Georgia"/>
          <w:b/>
          <w:bCs/>
          <w:color w:val="2563A8"/>
          <w:sz w:val="28"/>
          <w:szCs w:val="28"/>
        </w:rPr>
        <w:t xml:space="preserve">Opdracht 15.5 — Het volledige dossier van Van Doorn, stap voor stap</w:t>
      </w:r>
    </w:p>
    <w:p>
      <w:pPr>
        <w:spacing w:after="140" w:line="300"/>
      </w:pPr>
      <w:r>
        <w:rPr>
          <w:rFonts w:ascii="Calibri" w:cs="Calibri" w:eastAsia="Calibri" w:hAnsi="Calibri"/>
          <w:b w:val="false"/>
          <w:bCs w:val="false"/>
          <w:i w:val="false"/>
          <w:iCs w:val="false"/>
          <w:sz w:val="22"/>
          <w:szCs w:val="22"/>
        </w:rPr>
        <w:t xml:space="preserve">Loop zelf, zonder de reader erbij te pakken, de twaalf stappen voor Van Doorn Techniek langs en vul voor elke stap in: wat is de kernactie, en welk eerder deel van de cursus levert de inhoud?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Zie paragraaf 15.7 van de reader voor de volledige uitwerking. Beoordeel je eigen antwoord op twee punten: (1) heb je bij stap 4 zowel de vijf hoofdkeuzes als het zesde punt (nabestaandenpensioen) apart genoemd, en (2) heb je bij stap 7 de waarborgvraag uit deel 14 gekoppeld aan Karel specifiek, niet alleen in algemene termen. Wie deze twee koppelingen zelfstandig maakt, heeft de cursus geïntegreerd; wie ze mist, herhaalt exact de fouten uit paragraaf 15.8.</w:t>
            </w:r>
          </w:p>
        </w:tc>
      </w:tr>
    </w:tbl>
    <w:p>
      <w:pPr>
        <w:spacing w:after="100"/>
      </w:pPr>
    </w:p>
    <w:p>
      <w:pPr>
        <w:pStyle w:val="Heading2"/>
        <w:spacing w:after="120" w:before="200"/>
      </w:pPr>
      <w:r>
        <w:rPr>
          <w:rFonts w:ascii="Georgia" w:cs="Georgia" w:eastAsia="Georgia" w:hAnsi="Georgia"/>
          <w:b/>
          <w:bCs/>
          <w:color w:val="2563A8"/>
          <w:sz w:val="28"/>
          <w:szCs w:val="28"/>
        </w:rPr>
        <w:t xml:space="preserve">Opdracht 15.6 — De rekensom compleet</w:t>
      </w:r>
    </w:p>
    <w:p>
      <w:pPr>
        <w:spacing w:after="140" w:line="300"/>
      </w:pPr>
      <w:r>
        <w:rPr>
          <w:rFonts w:ascii="Calibri" w:cs="Calibri" w:eastAsia="Calibri" w:hAnsi="Calibri"/>
          <w:b w:val="false"/>
          <w:bCs w:val="false"/>
          <w:i w:val="false"/>
          <w:iCs w:val="false"/>
          <w:sz w:val="22"/>
          <w:szCs w:val="22"/>
        </w:rPr>
        <w:t xml:space="preserve">Reken voor Karel het volledige plaatje door: zijn oude premie, zijn nieuwe premie zonder compensatie, de maximale compensatie binnen de fiscale ruimte, en zijn netto resultaat na compensatie — allemaal in euro’s per jaar.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Oud (24% van grondslag € 28.828): € 6.919. Nieuw zonder compensatie (15%): € 4.324. Verschil zonder compensatie: −€ 2.595. Maximale compensatieruimte (3% van € 28.828): € 864,84. Netto resultaat mét maximale compensatie: € 4.324 + € 864,84 = € 5.188,84 — nog altijd € 1.730,16 lager dan zijn oude premie, ook bij volledige benutting van de fiscale compensatieruimte.</w:t>
            </w:r>
          </w:p>
        </w:tc>
      </w:tr>
    </w:tbl>
    <w:p>
      <w:pPr>
        <w:spacing w:after="140" w:line="300"/>
      </w:pPr>
      <w:r>
        <w:rPr>
          <w:rFonts w:ascii="Calibri" w:cs="Calibri" w:eastAsia="Calibri" w:hAnsi="Calibri"/>
          <w:b w:val="false"/>
          <w:bCs w:val="false"/>
          <w:i w:val="false"/>
          <w:iCs w:val="false"/>
          <w:sz w:val="22"/>
          <w:szCs w:val="22"/>
        </w:rPr>
        <w:t xml:space="preserve">Dit is de rekenkundige onderbouwing van de zin uit deel 7: “dit is geen compensatievoorstel, dit is een compensatiebedrag” — zelfs het fiscale maximum dicht het gat bij Karel niet volledig. Wie dit ziet, begrijpt waarom onderdeel 7 van de capstone uit deel 10 (“wat je niet weet, en hoe communiceer je dat”) hier weer relevant wordt: Karel moet dit resterende verschil eerlijk worden voorgelegd, niet verhuld achter het woord “compensatie”.</w:t>
      </w:r>
    </w:p>
    <w:p>
      <w:pPr>
        <w:spacing w:after="100"/>
      </w:pPr>
    </w:p>
    <w:p>
      <w:pPr>
        <w:pStyle w:val="Heading2"/>
        <w:spacing w:after="120" w:before="200"/>
      </w:pPr>
      <w:r>
        <w:rPr>
          <w:rFonts w:ascii="Georgia" w:cs="Georgia" w:eastAsia="Georgia" w:hAnsi="Georgia"/>
          <w:b/>
          <w:bCs/>
          <w:color w:val="2563A8"/>
          <w:sz w:val="28"/>
          <w:szCs w:val="28"/>
        </w:rPr>
        <w:t xml:space="preserve">Opdracht 15.7 — Route A of Route B, definitief</w:t>
      </w:r>
    </w:p>
    <w:p>
      <w:pPr>
        <w:spacing w:after="140" w:line="300"/>
      </w:pPr>
      <w:r>
        <w:rPr>
          <w:rFonts w:ascii="Calibri" w:cs="Calibri" w:eastAsia="Calibri" w:hAnsi="Calibri"/>
          <w:b w:val="false"/>
          <w:bCs w:val="false"/>
          <w:i w:val="false"/>
          <w:iCs w:val="false"/>
          <w:sz w:val="22"/>
          <w:szCs w:val="22"/>
        </w:rPr>
        <w:t xml:space="preserve">Neem de beslisnotitie die je in opdracht 14.8 hebt geschreven. Vul haar aan met: de uitkomst van stap 1 (werkingssfeer/vrijstelling), de rekensom uit opdracht 15.6, en een concreet advies over eerbiedigende werking (deel 6) voor het gemengde bestand van Van Doorn. Lever een compleet advies van maximaal één A4.</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 dit is de brug naar de capstone van niveau 2 (deel 21). Beoordelingscriteria: alle vier de eerder genoemde elementen zijn aanwezig; de aanbeveling over eerbiedigende werking gaat expliciet in op het spanningsveld tussen Karel (gebaat bij eerbiediging) en Yasmin (mogelijk beter af zonder, gezien het inzicht uit deel 6 dat eerbiediging in een jong deel van het bestand nadelig kan uitpakken); en het resterende gat bij Karel na compensatie wordt niet verhuld maar expliciet benoemd met een voorstel voor hoe dit in het gesprek met hem wordt gebracht.</w:t>
            </w:r>
          </w:p>
        </w:tc>
      </w:tr>
    </w:tbl>
    <w:p>
      <w:pPr>
        <w:spacing w:after="100"/>
      </w:pPr>
    </w:p>
    <w:p>
      <w:pPr>
        <w:pStyle w:val="Heading2"/>
        <w:spacing w:after="120" w:before="200"/>
      </w:pPr>
      <w:r>
        <w:rPr>
          <w:rFonts w:ascii="Georgia" w:cs="Georgia" w:eastAsia="Georgia" w:hAnsi="Georgia"/>
          <w:b/>
          <w:bCs/>
          <w:color w:val="2563A8"/>
          <w:sz w:val="28"/>
          <w:szCs w:val="28"/>
        </w:rPr>
        <w:t xml:space="preserve">Opdracht 15.8 — De vijf structurele fouten toepassen</w:t>
      </w:r>
    </w:p>
    <w:p>
      <w:pPr>
        <w:spacing w:after="140" w:line="300"/>
      </w:pPr>
      <w:r>
        <w:rPr>
          <w:rFonts w:ascii="Calibri" w:cs="Calibri" w:eastAsia="Calibri" w:hAnsi="Calibri"/>
          <w:b w:val="false"/>
          <w:bCs w:val="false"/>
          <w:i w:val="false"/>
          <w:iCs w:val="false"/>
          <w:sz w:val="22"/>
          <w:szCs w:val="22"/>
        </w:rPr>
        <w:t xml:space="preserve">Voor elk van de vijf fouten uit paragraaf 15.8: beschrijf in één zin wat er in het dossier van Van Doorn concreet mis zou gaan als deze fout wordt gemaakt, gebruikmakend van namen en data uit de casus.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w:t>
            </w:r>
          </w:p>
        </w:tc>
      </w:tr>
    </w:tbl>
    <w:p>
      <w:pPr>
        <w:pStyle w:val="ListParagraph"/>
        <w:numPr>
          <w:ilvl w:val="0"/>
          <w:numId w:val="1"/>
        </w:numPr>
        <w:spacing w:after="80"/>
      </w:pPr>
      <w:r>
        <w:rPr>
          <w:rFonts w:ascii="Calibri" w:cs="Calibri" w:eastAsia="Calibri" w:hAnsi="Calibri"/>
          <w:sz w:val="22"/>
          <w:szCs w:val="22"/>
        </w:rPr>
        <w:t xml:space="preserve">1. Ferdi wacht tot eind 2027 om te beginnen, terwijl zijn contract al op 30 juni 2026 opgezegd moet zijn — het contract verlengt dan stilzwijgend en de marge tot 2028 verdwijnt.</w:t>
      </w:r>
    </w:p>
    <w:p>
      <w:pPr>
        <w:pStyle w:val="ListParagraph"/>
        <w:numPr>
          <w:ilvl w:val="0"/>
          <w:numId w:val="1"/>
        </w:numPr>
        <w:spacing w:after="80"/>
      </w:pPr>
      <w:r>
        <w:rPr>
          <w:rFonts w:ascii="Calibri" w:cs="Calibri" w:eastAsia="Calibri" w:hAnsi="Calibri"/>
          <w:sz w:val="22"/>
          <w:szCs w:val="22"/>
        </w:rPr>
        <w:t xml:space="preserve">2. Joost Meiland regelt de premie voor Karel en Yasmin maar vergeet het opbouwbasis-partnerpensioen van 70%, waardoor de regeling na de transitie alsnog niet conform is (soort C, deel 5).</w:t>
      </w:r>
    </w:p>
    <w:p>
      <w:pPr>
        <w:pStyle w:val="ListParagraph"/>
        <w:numPr>
          <w:ilvl w:val="0"/>
          <w:numId w:val="1"/>
        </w:numPr>
        <w:spacing w:after="80"/>
      </w:pPr>
      <w:r>
        <w:rPr>
          <w:rFonts w:ascii="Calibri" w:cs="Calibri" w:eastAsia="Calibri" w:hAnsi="Calibri"/>
          <w:sz w:val="22"/>
          <w:szCs w:val="22"/>
        </w:rPr>
        <w:t xml:space="preserve">3. Van Doorn stapt over naar een goedkopere verzekeraar zonder waarborgbepaling, en Karel wordt bij de nieuwe uitvoerder individueel beoordeeld voor zijn arbeidsongeschiktheidsdekking.</w:t>
      </w:r>
    </w:p>
    <w:p>
      <w:pPr>
        <w:pStyle w:val="ListParagraph"/>
        <w:numPr>
          <w:ilvl w:val="0"/>
          <w:numId w:val="1"/>
        </w:numPr>
        <w:spacing w:after="80"/>
      </w:pPr>
      <w:r>
        <w:rPr>
          <w:rFonts w:ascii="Calibri" w:cs="Calibri" w:eastAsia="Calibri" w:hAnsi="Calibri"/>
          <w:sz w:val="22"/>
          <w:szCs w:val="22"/>
        </w:rPr>
        <w:t xml:space="preserve">4. Joost presenteert Ilse een compensatievoorstel van 3% zonder uit te leggen waarom, voor wie, en wat er bij vertrek gebeurt — precies het voorstel dat in deel 7 werd afgekeurd.</w:t>
      </w:r>
    </w:p>
    <w:p>
      <w:pPr>
        <w:pStyle w:val="ListParagraph"/>
        <w:numPr>
          <w:ilvl w:val="0"/>
          <w:numId w:val="1"/>
        </w:numPr>
        <w:spacing w:after="80"/>
      </w:pPr>
      <w:r>
        <w:rPr>
          <w:rFonts w:ascii="Calibri" w:cs="Calibri" w:eastAsia="Calibri" w:hAnsi="Calibri"/>
          <w:sz w:val="22"/>
          <w:szCs w:val="22"/>
        </w:rPr>
        <w:t xml:space="preserve">5. Ilse en de OR horen pas van de nieuwe regeling nadat Van Doorn al met Meridiaan heeft gecontracteerd — de e-mail-fout uit deel 2, nu op het niveau van de hele transitie.</w:t>
      </w:r>
    </w:p>
    <w:p>
      <w:pPr>
        <w:spacing w:after="100"/>
      </w:pPr>
    </w:p>
    <w:p>
      <w:pPr>
        <w:pStyle w:val="Heading2"/>
        <w:spacing w:after="120" w:before="200"/>
      </w:pPr>
      <w:r>
        <w:rPr>
          <w:rFonts w:ascii="Georgia" w:cs="Georgia" w:eastAsia="Georgia" w:hAnsi="Georgia"/>
          <w:b/>
          <w:bCs/>
          <w:color w:val="2563A8"/>
          <w:sz w:val="28"/>
          <w:szCs w:val="28"/>
        </w:rPr>
        <w:t xml:space="preserve">Opdracht 15.9 — Reflectie op de integratie</w:t>
      </w:r>
    </w:p>
    <w:p>
      <w:pPr>
        <w:spacing w:after="140" w:line="300"/>
      </w:pPr>
      <w:r>
        <w:rPr>
          <w:rFonts w:ascii="Calibri" w:cs="Calibri" w:eastAsia="Calibri" w:hAnsi="Calibri"/>
          <w:b w:val="false"/>
          <w:bCs w:val="false"/>
          <w:i w:val="false"/>
          <w:iCs w:val="false"/>
          <w:sz w:val="22"/>
          <w:szCs w:val="22"/>
        </w:rPr>
        <w:t xml:space="preserve">Beantwoord in maximaal acht zinnen: welk deel van deze cursus vond je, terugkijkend, het lastigst om in dit tweedaagse deel correct toe te passen, en waarom?</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Dit is een individuele reflectieopdracht; de docent bespreekt de antwoorden niet plenair maar gebruikt het patroon in de antwoorden (welke delen meerdere deelnemers noemen) om te bepalen welke onderdelen in deel 21 (examentraining) extra aandacht verdienen.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2026-08-17T11:22:45.156Z</dcterms:created>
  <dcterms:modified xsi:type="dcterms:W3CDTF">2026-08-17T11:22:45.156Z</dcterms:modified>
</cp:coreProperties>
</file>

<file path=docProps/custom.xml><?xml version="1.0" encoding="utf-8"?>
<Properties xmlns="http://schemas.openxmlformats.org/officeDocument/2006/custom-properties" xmlns:vt="http://schemas.openxmlformats.org/officeDocument/2006/docPropsVTypes"/>
</file>