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16 — Docentenhandleiding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16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deel lost een belofte in die sinds deel 5 openstaat, en het is voor veel deelnemers — vooral degenen met een achtergrond in de verzekerde wereld — het eerste moment waarop de fondsenwereld echt diepgaand aan bod komt. Bewaak dat evenwicht: deze cursus behandelt fondsen en verzekeraars met gelijk gewicht (zie de opzet), en dit dagdeel is waar dat voor de fondsenkant het scherpst wordt ingelost.</w:t>
      </w:r>
    </w:p>
    <w:p>
      <w:pPr>
        <w:spacing w:after="140" w:line="300"/>
      </w:pPr>
      <w:r>
        <w:rPr>
          <w:rFonts w:ascii="Calibri" w:cs="Calibri" w:eastAsia="Calibri" w:hAnsi="Calibri"/>
          <w:b w:val="false"/>
          <w:bCs w:val="false"/>
          <w:i w:val="false"/>
          <w:iCs w:val="false"/>
          <w:sz w:val="22"/>
          <w:szCs w:val="22"/>
        </w:rPr>
        <w:t xml:space="preserve">De kernboodschap:</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Twee situaties die aanvoelen als “mijn pensioen gaat over” kennen fundamenteel verschillende rechtsbescherming: invaren kent geen individueel bezwaarrecht, collectieve waardeoverdracht wel.</w:t>
            </w:r>
          </w:p>
        </w:tc>
      </w:tr>
    </w:tbl>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cirkel sluit zich, terugblik deel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drie routes naast elkaar, opdracht 16.1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met tabel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Collectieve waardeoverdracht: procedure, opdracht 16.2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Invaren: het besluit en evenwichtigheid, opdracht 16.3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Netto profijt, opdracht 16.4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Omrekenmethoden, opdracht 16.5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Dekkingsgraadgrenzen, opdracht 16.6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drie casussen, opdracht 16.7 en 16.9</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Lees de kernzin uit deel 5 voor: “invaren is het uitgangspunt bij fondsen, achterblijven bij verzekerde regelingen.” Zeg: vandaag maken we dat waar tot in detail. Dit geeft het dagdeel meteen een gevoel van afronding in plaats van nieuwe, losstaande stof.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Drie routes naast elkaar.</w:t>
      </w:r>
      <w:r>
        <w:rPr>
          <w:rFonts w:ascii="Calibri" w:cs="Calibri" w:eastAsia="Calibri" w:hAnsi="Calibri"/>
          <w:b w:val="false"/>
          <w:bCs w:val="false"/>
          <w:i w:val="false"/>
          <w:iCs w:val="false"/>
          <w:sz w:val="22"/>
          <w:szCs w:val="22"/>
        </w:rPr>
        <w:t xml:space="preserve"> Bouw de tabel uit paragraaf 16.3 samen met de groep op, niet vooraf uitgedeeld. Laat deelnemers eerst de rij “individueel bezwaarrecht” proberen in te vullen vanuit hun bestaande kennis (deel 5 en 9) voordat je het bevestigt. De meesten hebben het puzzelstuk al, alleen nog niet samengevoegd.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Collectieve waardeoverdracht — procedure.</w:t>
      </w:r>
      <w:r>
        <w:rPr>
          <w:rFonts w:ascii="Calibri" w:cs="Calibri" w:eastAsia="Calibri" w:hAnsi="Calibri"/>
          <w:b w:val="false"/>
          <w:bCs w:val="false"/>
          <w:i w:val="false"/>
          <w:iCs w:val="false"/>
          <w:sz w:val="22"/>
          <w:szCs w:val="22"/>
        </w:rPr>
        <w:t xml:space="preserve"> Loop de vijf stappen kort langs. Besteed de meeste tijd aan het bezwaarrecht: dit is de asymmetrie die het hele dagdeel draagt. Bij opdracht 16.2: doe dit snel plenair, het is een opwarmer voor het zwaardere werk daarna.</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Invaren — het besluit.</w:t>
      </w:r>
      <w:r>
        <w:rPr>
          <w:rFonts w:ascii="Calibri" w:cs="Calibri" w:eastAsia="Calibri" w:hAnsi="Calibri"/>
          <w:b w:val="false"/>
          <w:bCs w:val="false"/>
          <w:i w:val="false"/>
          <w:iCs w:val="false"/>
          <w:sz w:val="22"/>
          <w:szCs w:val="22"/>
        </w:rPr>
        <w:t xml:space="preserve"> Dit is inhoudelijk het zwaarste onderdeel. Leg de evenwichtige belangenafweging uit als een </w:t>
      </w:r>
      <w:r>
        <w:rPr>
          <w:rFonts w:ascii="Calibri" w:cs="Calibri" w:eastAsia="Calibri" w:hAnsi="Calibri"/>
          <w:b/>
          <w:bCs/>
          <w:i w:val="false"/>
          <w:iCs w:val="false"/>
          <w:sz w:val="22"/>
          <w:szCs w:val="22"/>
        </w:rPr>
        <w:t xml:space="preserve">toetsbare norm</w:t>
      </w:r>
      <w:r>
        <w:rPr>
          <w:rFonts w:ascii="Calibri" w:cs="Calibri" w:eastAsia="Calibri" w:hAnsi="Calibri"/>
          <w:b w:val="false"/>
          <w:bCs w:val="false"/>
          <w:i w:val="false"/>
          <w:iCs w:val="false"/>
          <w:sz w:val="22"/>
          <w:szCs w:val="22"/>
        </w:rPr>
        <w:t xml:space="preserve">, niet als een vage formule — DNB beoordeelt haar expliciet. Dat onderscheid (toetsbaar versus vaag) is belangrijk omdat deelnemers anders denken dat “evenwichtigheid” een onbeperkt beleidsvrije term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Netto profijt (16.4) — het contra-intuïtieve punt van het dagdeel.</w:t>
      </w:r>
      <w:r>
        <w:rPr>
          <w:rFonts w:ascii="Calibri" w:cs="Calibri" w:eastAsia="Calibri" w:hAnsi="Calibri"/>
          <w:b w:val="false"/>
          <w:bCs w:val="false"/>
          <w:i w:val="false"/>
          <w:iCs w:val="false"/>
          <w:sz w:val="22"/>
          <w:szCs w:val="22"/>
        </w:rPr>
        <w:t xml:space="preserve"> Neem hier de tijd. De meeste deelnemers verwachten dat 0% netto profijt per definitie het meest rechtvaardige resultaat is — het klinkt neutraal. Laat de groep eerst zelf beargumenteren waarom dat zo zou zijn, vóórdat je de tegenwerping introduceert. De omslag — “0% is het bestendigen van het probleem dat de Wtp juist moest oplossen” — moet als aha-moment landen, niet als opgelegd feit.</w:t>
      </w:r>
    </w:p>
    <w:p>
      <w:pPr>
        <w:spacing w:after="140" w:line="300"/>
      </w:pPr>
      <w:r>
        <w:rPr>
          <w:rFonts w:ascii="Calibri" w:cs="Calibri" w:eastAsia="Calibri" w:hAnsi="Calibri"/>
          <w:b w:val="false"/>
          <w:bCs w:val="false"/>
          <w:i w:val="false"/>
          <w:iCs w:val="false"/>
          <w:sz w:val="22"/>
          <w:szCs w:val="22"/>
        </w:rPr>
        <w:t xml:space="preserve">Waarschuw ook voor de omgekeerde denkfout: dit betekent niet dat een grote spreiding in netto profijt per se wél evenwichtig is. Netto profijt is een indicator, geen doel op zich — in beide richtingen.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Omrekenmethoden.</w:t>
      </w:r>
      <w:r>
        <w:rPr>
          <w:rFonts w:ascii="Calibri" w:cs="Calibri" w:eastAsia="Calibri" w:hAnsi="Calibri"/>
          <w:b w:val="false"/>
          <w:bCs w:val="false"/>
          <w:i w:val="false"/>
          <w:iCs w:val="false"/>
          <w:sz w:val="22"/>
          <w:szCs w:val="22"/>
        </w:rPr>
        <w:t xml:space="preserve"> Dit onderdeel is technischer en mag sneller. Het punt dat moet landen: de standaardmethode is de default met minder onderbouwingslast, de vba-methode is maatwerk met méér onderbouwingslast. Deelnemers hoeven de berekeningen niet zelf te kunnen maken — dat is actuarieel werk — maar moeten wel weten dát de gekozen methode een keuze is met gevolgen voor de mate van sturing die het fonds heeft.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Dekkingsgraadgrenzen.</w:t>
      </w:r>
      <w:r>
        <w:rPr>
          <w:rFonts w:ascii="Calibri" w:cs="Calibri" w:eastAsia="Calibri" w:hAnsi="Calibri"/>
          <w:b w:val="false"/>
          <w:bCs w:val="false"/>
          <w:i w:val="false"/>
          <w:iCs w:val="false"/>
          <w:sz w:val="22"/>
          <w:szCs w:val="22"/>
        </w:rPr>
        <w:t xml:space="preserve"> Bij opdracht 16.6c: dit is de belangrijkste subvraag. Het onderscheid tussen een grens op fondsniveau (90%) en een grens op individueel niveau (95%-rekenregel) is precies het soort verschil dat deelnemers moeten kunnen navertellen aan een individuele deelnemer die vraagt “is mijn pensioen wel veilig omgerekend, ook al gaat het gemiddeld goed met het fonds?”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drie casussen — afsluiting.</w:t>
      </w:r>
      <w:r>
        <w:rPr>
          <w:rFonts w:ascii="Calibri" w:cs="Calibri" w:eastAsia="Calibri" w:hAnsi="Calibri"/>
          <w:b w:val="false"/>
          <w:bCs w:val="false"/>
          <w:i w:val="false"/>
          <w:iCs w:val="false"/>
          <w:sz w:val="22"/>
          <w:szCs w:val="22"/>
        </w:rPr>
        <w:t xml:space="preserve"> Laat opdracht 16.7 klassikaal invullen op een grote flap, met de drie kolommen zichtbaar naast elkaar. Dit is het visuele sluitstuk van het dagdeel: drie ogenschijnlijk vergelijkbare “overstap”-situaties met drie totaal verschillende juridische uitkomsten.</w:t>
      </w:r>
    </w:p>
    <w:p>
      <w:pPr>
        <w:spacing w:after="140" w:line="300"/>
      </w:pPr>
      <w:r>
        <w:rPr>
          <w:rFonts w:ascii="Calibri" w:cs="Calibri" w:eastAsia="Calibri" w:hAnsi="Calibri"/>
          <w:b w:val="false"/>
          <w:bCs w:val="false"/>
          <w:i w:val="false"/>
          <w:iCs w:val="false"/>
          <w:sz w:val="22"/>
          <w:szCs w:val="22"/>
        </w:rPr>
        <w:t xml:space="preserve">Sluit af met opdracht 16.9 als korte reflectie — niet uitgebreid bespreken, maar wel iedereen laten opschrijven, want het dwingt de koppeling met deel 1 nog een keer actief te maken.</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 een deelnemer een invaarbesluit wél aanvechten, alleen niet individueel en niet vooraf?”</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Via de klachten- en geschillenroute achteraf, of via de fondsorganen tijdens de besluitvorming — maar niet als een individueel bezwaarrecht tegen het besluit als zodanig, zoals bij CWO. Het verschil zit in het moment en het niveau: collectieve inspraak vooraf via de organen, versus individuele toetsing achteraf bij een geschil over de toepassing.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gebeurt er als DNB een invaarbesluit afkeurt?”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Dan kan het fonds niet op die basis invaren en moet het de onderbouwing aanpassen of het besluit heroverwegen. Dit is een zwaarwegend toezichtmoment, geen formaliteit.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“Geldt de 95%-rekenregelgrens ook voor gepensioneerden?”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Ja — de tekst spreekt uitdrukkelijk over deelnemers, gewezen deelnemers, andere aanspraakgerechtigden én pensioengerechtigden. Iedereen met een aanspraak of recht valt eronder.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de vba-methode ‘beter’ dan de standaardmethode?”</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Niet in algemene zin — zij is geschikter voor fondsen met bijzondere kenmerken die de standaardregel niet goed vangt. Voor een gangbare regeling bij een groot fonds voegt zij vooral extra onderbouwingslast toe zonder evenredig voordeel.</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De drie-routes-tabel als grote flap, gezamenlijk in te vullen</w:t>
      </w:r>
    </w:p>
    <w:p>
      <w:pPr>
        <w:pStyle w:val="ListParagraph"/>
        <w:numPr>
          <w:ilvl w:val="0"/>
          <w:numId w:val="1"/>
        </w:numPr>
        <w:spacing w:after="80"/>
      </w:pPr>
      <w:r>
        <w:rPr>
          <w:rFonts w:ascii="Calibri" w:cs="Calibri" w:eastAsia="Calibri" w:hAnsi="Calibri"/>
          <w:sz w:val="22"/>
          <w:szCs w:val="22"/>
        </w:rPr>
        <w:t xml:space="preserve">Actuele bronnen (DNB-factsheets, Q&amp;A’s) paraat om te tonen waar de cijfers en normen vandaan komen</w:t>
      </w:r>
    </w:p>
    <w:p>
      <w:pPr>
        <w:pStyle w:val="ListParagraph"/>
        <w:numPr>
          <w:ilvl w:val="0"/>
          <w:numId w:val="1"/>
        </w:numPr>
        <w:spacing w:after="80"/>
      </w:pPr>
      <w:r>
        <w:rPr>
          <w:rFonts w:ascii="Calibri" w:cs="Calibri" w:eastAsia="Calibri" w:hAnsi="Calibri"/>
          <w:sz w:val="22"/>
          <w:szCs w:val="22"/>
        </w:rPr>
        <w:t xml:space="preserve">Casuskaartjes voor Bpf T&amp;I, Delta Chemie en Van Doorn voor opdracht 16.7</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geen apart huiswerk; opdracht 16.9 is de afronding. Kondig deel 17 aan: nu het lot van elke euro vaststaat, gaat het volgende deel over hoe je dat uitlegt — pensioencommunicatie, transitieoverzichten en de wettelijke norm keuzebegeleiding.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2026-08-17T11:22:45.288Z</dcterms:created>
  <dcterms:modified xsi:type="dcterms:W3CDTF">2026-08-17T11:22:45.288Z</dcterms:modified>
</cp:coreProperties>
</file>

<file path=docProps/custom.xml><?xml version="1.0" encoding="utf-8"?>
<Properties xmlns="http://schemas.openxmlformats.org/officeDocument/2006/custom-properties" xmlns:vt="http://schemas.openxmlformats.org/officeDocument/2006/docPropsVTypes"/>
</file>