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16 — Waardeoverdracht en invaren</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16 — Waardeoverdracht en invaren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16.1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drie routes voor bestaande aanspraken — achterblijven, waardeoverdracht, invaren — volledig naast elkaar zetten;</w:t>
      </w:r>
    </w:p>
    <w:p>
      <w:pPr>
        <w:pStyle w:val="ListParagraph"/>
        <w:numPr>
          <w:ilvl w:val="0"/>
          <w:numId w:val="1"/>
        </w:numPr>
        <w:spacing w:after="80"/>
      </w:pPr>
      <w:r>
        <w:rPr>
          <w:rFonts w:ascii="Calibri" w:cs="Calibri" w:eastAsia="Calibri" w:hAnsi="Calibri"/>
          <w:sz w:val="22"/>
          <w:szCs w:val="22"/>
        </w:rPr>
        <w:t xml:space="preserve">2. de procedure van een collectieve waardeoverdracht beschrijven, inclusief het individuele bezwaarrecht;</w:t>
      </w:r>
    </w:p>
    <w:p>
      <w:pPr>
        <w:pStyle w:val="ListParagraph"/>
        <w:numPr>
          <w:ilvl w:val="0"/>
          <w:numId w:val="1"/>
        </w:numPr>
        <w:spacing w:after="80"/>
      </w:pPr>
      <w:r>
        <w:rPr>
          <w:rFonts w:ascii="Calibri" w:cs="Calibri" w:eastAsia="Calibri" w:hAnsi="Calibri"/>
          <w:sz w:val="22"/>
          <w:szCs w:val="22"/>
        </w:rPr>
        <w:t xml:space="preserve">3. de standaardmethode en de vba-methode voor invaren onderscheiden en aangeven wanneer welke wordt gebruikt;</w:t>
      </w:r>
    </w:p>
    <w:p>
      <w:pPr>
        <w:pStyle w:val="ListParagraph"/>
        <w:numPr>
          <w:ilvl w:val="0"/>
          <w:numId w:val="1"/>
        </w:numPr>
        <w:spacing w:after="80"/>
      </w:pPr>
      <w:r>
        <w:rPr>
          <w:rFonts w:ascii="Calibri" w:cs="Calibri" w:eastAsia="Calibri" w:hAnsi="Calibri"/>
          <w:sz w:val="22"/>
          <w:szCs w:val="22"/>
        </w:rPr>
        <w:t xml:space="preserve">4. de dekkingsgraadgrenzen bij invaren toepassen;</w:t>
      </w:r>
    </w:p>
    <w:p>
      <w:pPr>
        <w:pStyle w:val="ListParagraph"/>
        <w:numPr>
          <w:ilvl w:val="0"/>
          <w:numId w:val="1"/>
        </w:numPr>
        <w:spacing w:after="80"/>
      </w:pPr>
      <w:r>
        <w:rPr>
          <w:rFonts w:ascii="Calibri" w:cs="Calibri" w:eastAsia="Calibri" w:hAnsi="Calibri"/>
          <w:sz w:val="22"/>
          <w:szCs w:val="22"/>
        </w:rPr>
        <w:t xml:space="preserve">5. het verschil tussen invaren en een collectieve waardeoverdracht plaatsen op het punt van bezwaarrecht en besluitvorming;</w:t>
      </w:r>
    </w:p>
    <w:p>
      <w:pPr>
        <w:pStyle w:val="ListParagraph"/>
        <w:numPr>
          <w:ilvl w:val="0"/>
          <w:numId w:val="1"/>
        </w:numPr>
        <w:spacing w:after="80"/>
      </w:pPr>
      <w:r>
        <w:rPr>
          <w:rFonts w:ascii="Calibri" w:cs="Calibri" w:eastAsia="Calibri" w:hAnsi="Calibri"/>
          <w:sz w:val="22"/>
          <w:szCs w:val="22"/>
        </w:rPr>
        <w:t xml:space="preserve">6. het lot van de bestaande aanspraken van Bpf T&amp;I, Delta Chemie en Van Doorn Techniek naast elkaar beoordelen.</w:t>
      </w:r>
    </w:p>
    <w:p>
      <w:pPr>
        <w:spacing w:after="100"/>
      </w:pPr>
    </w:p>
    <w:p>
      <w:pPr>
        <w:pStyle w:val="Heading2"/>
        <w:spacing w:after="120" w:before="200"/>
      </w:pPr>
      <w:r>
        <w:rPr>
          <w:rFonts w:ascii="Georgia" w:cs="Georgia" w:eastAsia="Georgia" w:hAnsi="Georgia"/>
          <w:b/>
          <w:bCs/>
          <w:color w:val="2563A8"/>
          <w:sz w:val="28"/>
          <w:szCs w:val="28"/>
        </w:rPr>
        <w:t xml:space="preserve">16.2 De cirkel sluit zich</w:t>
      </w:r>
    </w:p>
    <w:p>
      <w:pPr>
        <w:spacing w:after="140" w:line="300"/>
      </w:pPr>
      <w:r>
        <w:rPr>
          <w:rFonts w:ascii="Calibri" w:cs="Calibri" w:eastAsia="Calibri" w:hAnsi="Calibri"/>
          <w:b w:val="false"/>
          <w:bCs w:val="false"/>
          <w:i w:val="false"/>
          <w:iCs w:val="false"/>
          <w:sz w:val="22"/>
          <w:szCs w:val="22"/>
        </w:rPr>
        <w:t xml:space="preserve">Sinds deel 5 stond er een belofte open: </w:t>
      </w:r>
      <w:r>
        <w:rPr>
          <w:rFonts w:ascii="Calibri" w:cs="Calibri" w:eastAsia="Calibri" w:hAnsi="Calibri"/>
          <w:b w:val="false"/>
          <w:bCs w:val="false"/>
          <w:i/>
          <w:iCs/>
          <w:sz w:val="22"/>
          <w:szCs w:val="22"/>
        </w:rPr>
        <w:t xml:space="preserve">“invaren is het uitgangspunt bij fondsen, achterblijven bij verzekerde regelingen — deel 16 werkt dit uit.”</w:t>
      </w:r>
      <w:r>
        <w:rPr>
          <w:rFonts w:ascii="Calibri" w:cs="Calibri" w:eastAsia="Calibri" w:hAnsi="Calibri"/>
          <w:b w:val="false"/>
          <w:bCs w:val="false"/>
          <w:i w:val="false"/>
          <w:iCs w:val="false"/>
          <w:sz w:val="22"/>
          <w:szCs w:val="22"/>
        </w:rPr>
        <w:t xml:space="preserve"> Dit deel maakt die belofte waar. Waar deel 9 waardeoverdracht op individueel niveau introduceerde en de delen 5, 6 en 15 het fondsproces al zijdelings aanstipten, gaat dit deel de volledige diepte in: hoe werkt invaren precies, en hoe verhoudt het zich tot de waardeoverdrachtroutes die je al kende?</w:t>
      </w:r>
    </w:p>
    <w:p>
      <w:pPr>
        <w:spacing w:after="100"/>
      </w:pPr>
    </w:p>
    <w:p>
      <w:pPr>
        <w:pStyle w:val="Heading2"/>
        <w:spacing w:after="120" w:before="200"/>
      </w:pPr>
      <w:r>
        <w:rPr>
          <w:rFonts w:ascii="Georgia" w:cs="Georgia" w:eastAsia="Georgia" w:hAnsi="Georgia"/>
          <w:b/>
          <w:bCs/>
          <w:color w:val="2563A8"/>
          <w:sz w:val="28"/>
          <w:szCs w:val="28"/>
        </w:rPr>
        <w:t xml:space="preserve">16.3 De drie routes nog eens naast elkaar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Achterblijven</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Waardeoverdracht</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Invaren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gebeurt 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Aanspraak blijft ongewijzigd bij de huidige uitvoerder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Aanspraak verhuist naar een andere uitvoerder, in de daar geldende vorm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Aanspraak wordt collectief omgezet naar een persoonlijk pensioenvermogen in de nieuwe regeling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Initiatief</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Geen actie nodig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 verzoek van de deelnemer (individueel) of besluit van twee fondsen/uitvoerders (collectief)</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Besluit van het pensioenfondsbestuur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bezwaarrecht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N.v.t.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 bij collectieve waardeoverdracht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 niet tegen het invaarbesluit als zodanig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Typisch bij</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Verzekerde regeling na contractwissel (deel 2, 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Baanwissel (deel 9), fondsliquidatie, contractwissel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Pensioenfonds dat overstapt op het nieuwe stelsel</w:t>
            </w:r>
          </w:p>
        </w:tc>
      </w:tr>
    </w:tbl>
    <w:p>
      <w:pPr>
        <w:spacing w:after="140" w:line="300"/>
      </w:pPr>
      <w:r>
        <w:rPr>
          <w:rFonts w:ascii="Calibri" w:cs="Calibri" w:eastAsia="Calibri" w:hAnsi="Calibri"/>
          <w:b w:val="false"/>
          <w:bCs w:val="false"/>
          <w:i w:val="false"/>
          <w:iCs w:val="false"/>
          <w:sz w:val="22"/>
          <w:szCs w:val="22"/>
        </w:rPr>
        <w:t xml:space="preserve">Deze tabel is de samenvatting van drie cursusdelen; gebruik haar als anker voor de rest van dit deel.</w:t>
      </w:r>
    </w:p>
    <w:p>
      <w:pPr>
        <w:spacing w:after="100"/>
      </w:pPr>
    </w:p>
    <w:p>
      <w:pPr>
        <w:pStyle w:val="Heading2"/>
        <w:spacing w:after="120" w:before="200"/>
      </w:pPr>
      <w:r>
        <w:rPr>
          <w:rFonts w:ascii="Georgia" w:cs="Georgia" w:eastAsia="Georgia" w:hAnsi="Georgia"/>
          <w:b/>
          <w:bCs/>
          <w:color w:val="2563A8"/>
          <w:sz w:val="28"/>
          <w:szCs w:val="28"/>
        </w:rPr>
        <w:t xml:space="preserve">16.4 Collectieve waardeoverdracht: de procedure</w:t>
      </w:r>
    </w:p>
    <w:p>
      <w:pPr>
        <w:spacing w:after="140" w:line="300"/>
      </w:pPr>
      <w:r>
        <w:rPr>
          <w:rFonts w:ascii="Calibri" w:cs="Calibri" w:eastAsia="Calibri" w:hAnsi="Calibri"/>
          <w:b w:val="false"/>
          <w:bCs w:val="false"/>
          <w:i w:val="false"/>
          <w:iCs w:val="false"/>
          <w:sz w:val="22"/>
          <w:szCs w:val="22"/>
        </w:rPr>
        <w:t xml:space="preserve">Een collectieve waardeoverdracht (CWO) is de overdracht van de aanspraken van een hele groep deelnemers — bijvoorbeeld bij liquidatie van een fonds, bij een fusie, of wanneer een werkgever met een ondernemingspensioenfonds besluit de uitvoering onder te brengen bij een verzekeraar of APF.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procedure in hoofdlijnen:</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1. Het besluit tot CWO wordt genomen door de betrokken fondsbesturen of, bij een verzekerde regeling, tussen de werkgever en de uitvoerders.</w:t>
      </w:r>
    </w:p>
    <w:p>
      <w:pPr>
        <w:pStyle w:val="ListParagraph"/>
        <w:numPr>
          <w:ilvl w:val="0"/>
          <w:numId w:val="1"/>
        </w:numPr>
        <w:spacing w:after="80"/>
      </w:pPr>
      <w:r>
        <w:rPr>
          <w:rFonts w:ascii="Calibri" w:cs="Calibri" w:eastAsia="Calibri" w:hAnsi="Calibri"/>
          <w:sz w:val="22"/>
          <w:szCs w:val="22"/>
        </w:rPr>
        <w:t xml:space="preserve">2. De financiële effecten voor de verschillende deelnemersgroepen worden onderbouwd — vergelijkbaar met de evenwichtigheidstoets uit deel 7, maar dan specifiek gericht op de overdracht zelf.</w:t>
      </w:r>
    </w:p>
    <w:p>
      <w:pPr>
        <w:pStyle w:val="ListParagraph"/>
        <w:numPr>
          <w:ilvl w:val="0"/>
          <w:numId w:val="1"/>
        </w:numPr>
        <w:spacing w:after="80"/>
      </w:pPr>
      <w:r>
        <w:rPr>
          <w:rFonts w:ascii="Calibri" w:cs="Calibri" w:eastAsia="Calibri" w:hAnsi="Calibri"/>
          <w:sz w:val="22"/>
          <w:szCs w:val="22"/>
        </w:rPr>
        <w:t xml:space="preserve">3. Melding bij en beoordeling door DNB, via een daarvoor beschikbaar gesteld meldingsformulier.</w:t>
      </w:r>
    </w:p>
    <w:p>
      <w:pPr>
        <w:pStyle w:val="ListParagraph"/>
        <w:numPr>
          <w:ilvl w:val="0"/>
          <w:numId w:val="1"/>
        </w:numPr>
        <w:spacing w:after="80"/>
      </w:pPr>
      <w:r>
        <w:rPr>
          <w:rFonts w:ascii="Calibri" w:cs="Calibri" w:eastAsia="Calibri" w:hAnsi="Calibri"/>
          <w:sz w:val="22"/>
          <w:szCs w:val="22"/>
        </w:rPr>
        <w:t xml:space="preserve">4. Deelnemers worden geïnformeerd en krijgen de gelegenheid bezwaar te maken.</w:t>
      </w:r>
    </w:p>
    <w:p>
      <w:pPr>
        <w:pStyle w:val="ListParagraph"/>
        <w:numPr>
          <w:ilvl w:val="0"/>
          <w:numId w:val="1"/>
        </w:numPr>
        <w:spacing w:after="80"/>
      </w:pPr>
      <w:r>
        <w:rPr>
          <w:rFonts w:ascii="Calibri" w:cs="Calibri" w:eastAsia="Calibri" w:hAnsi="Calibri"/>
          <w:sz w:val="22"/>
          <w:szCs w:val="22"/>
        </w:rPr>
        <w:t xml:space="preserve">5. Bij onvoldoende steun of een succesvol bezwaar kan de overdracht worden aangehouden of aangepast.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individuele bezwaarrecht — het scherpste verschil met invaren.</w:t>
      </w:r>
      <w:r>
        <w:rPr>
          <w:rFonts w:ascii="Calibri" w:cs="Calibri" w:eastAsia="Calibri" w:hAnsi="Calibri"/>
          <w:b w:val="false"/>
          <w:bCs w:val="false"/>
          <w:i w:val="false"/>
          <w:iCs w:val="false"/>
          <w:sz w:val="22"/>
          <w:szCs w:val="22"/>
        </w:rPr>
        <w:t xml:space="preserve"> Bij een collectieve waardeoverdracht kan een individuele deelnemer in beginsel bezwaar maken tegen de overdracht van zijn eigen aanspraak. Dat recht bestaat niet op dezelfde manier bij een invaarbesluit van een pensioenfonds (16.6). Dit verschil is een van de meest onderschatte punten uit de hele cursus: twee bewerkingen die uiterlijk op elkaar lijken — “mijn pensioen gaat over naar een andere regeling” — kennen fundamenteel verschillende rechtsbescherming.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Bijzondere aandacht tijdens de Wtp-transitieperiode.</w:t>
      </w:r>
      <w:r>
        <w:rPr>
          <w:rFonts w:ascii="Calibri" w:cs="Calibri" w:eastAsia="Calibri" w:hAnsi="Calibri"/>
          <w:b w:val="false"/>
          <w:bCs w:val="false"/>
          <w:i w:val="false"/>
          <w:iCs w:val="false"/>
          <w:sz w:val="22"/>
          <w:szCs w:val="22"/>
        </w:rPr>
        <w:t xml:space="preserve"> Een collectieve waardeoverdracht die </w:t>
      </w:r>
      <w:r>
        <w:rPr>
          <w:rFonts w:ascii="Calibri" w:cs="Calibri" w:eastAsia="Calibri" w:hAnsi="Calibri"/>
          <w:b w:val="false"/>
          <w:bCs w:val="false"/>
          <w:i/>
          <w:iCs/>
          <w:sz w:val="22"/>
          <w:szCs w:val="22"/>
        </w:rPr>
        <w:t xml:space="preserve">niet</w:t>
      </w:r>
      <w:r>
        <w:rPr>
          <w:rFonts w:ascii="Calibri" w:cs="Calibri" w:eastAsia="Calibri" w:hAnsi="Calibri"/>
          <w:b w:val="false"/>
          <w:bCs w:val="false"/>
          <w:i w:val="false"/>
          <w:iCs w:val="false"/>
          <w:sz w:val="22"/>
          <w:szCs w:val="22"/>
        </w:rPr>
        <w:t xml:space="preserve"> hetzelfde is als invaren (bijvoorbeeld: een fonds draagt een deel van zijn bestand over aan een ander fonds, terwijl de Wtp-transitie nog loopt) kent extra onderbouwingsvereisten. DNB vraagt in die situatie expliciet aandacht voor de onzekerheid over de toekomstige contractinvulling en de wijze van invaren die op een later moment nog moet plaatsvinden — denk aan de beleggingsmix, het te hanteren projectierendement (deel 13) en de nog te kiezen omrekenmethode. Kortom: een CWO tijdens de transitieperiode moet rekening houden met een toekomst die deels nog niet vaststaat, en dat moet in de onderbouwing worden meegenomen.</w:t>
      </w:r>
    </w:p>
    <w:p>
      <w:pPr>
        <w:spacing w:after="100"/>
      </w:pPr>
    </w:p>
    <w:p>
      <w:pPr>
        <w:pStyle w:val="Heading2"/>
        <w:spacing w:after="120" w:before="200"/>
      </w:pPr>
      <w:r>
        <w:rPr>
          <w:rFonts w:ascii="Georgia" w:cs="Georgia" w:eastAsia="Georgia" w:hAnsi="Georgia"/>
          <w:b/>
          <w:bCs/>
          <w:color w:val="2563A8"/>
          <w:sz w:val="28"/>
          <w:szCs w:val="28"/>
        </w:rPr>
        <w:t xml:space="preserve">16.5 Invaren: het besluit</w:t>
      </w:r>
    </w:p>
    <w:p>
      <w:pPr>
        <w:spacing w:after="140" w:line="300"/>
      </w:pPr>
      <w:r>
        <w:rPr>
          <w:rFonts w:ascii="Calibri" w:cs="Calibri" w:eastAsia="Calibri" w:hAnsi="Calibri"/>
          <w:b w:val="false"/>
          <w:bCs w:val="false"/>
          <w:i w:val="false"/>
          <w:iCs w:val="false"/>
          <w:sz w:val="22"/>
          <w:szCs w:val="22"/>
        </w:rPr>
        <w:t xml:space="preserve">Invaren is het collectief omzetten van bestaande, opgebouwde pensioenaanspraken en -rechten naar persoonlijke pensioenvermogens in de nieuwe premieregeling. Dit is, zoals in deel 5 vastgesteld, het uitgangspunt bij pensioenfondsen.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Wie besluit?</w:t>
      </w:r>
      <w:r>
        <w:rPr>
          <w:rFonts w:ascii="Calibri" w:cs="Calibri" w:eastAsia="Calibri" w:hAnsi="Calibri"/>
          <w:b w:val="false"/>
          <w:bCs w:val="false"/>
          <w:i w:val="false"/>
          <w:iCs w:val="false"/>
          <w:sz w:val="22"/>
          <w:szCs w:val="22"/>
        </w:rPr>
        <w:t xml:space="preserve"> Het pensioenfondsbestuur, na opdrachtaanvaarding van de sociale partners’ verzoek en na eigen toetsing of het besluit verantwoord kan worden genomen.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kern van de toets: evenwichtige belangenafweging.</w:t>
      </w:r>
      <w:r>
        <w:rPr>
          <w:rFonts w:ascii="Calibri" w:cs="Calibri" w:eastAsia="Calibri" w:hAnsi="Calibri"/>
          <w:b w:val="false"/>
          <w:bCs w:val="false"/>
          <w:i w:val="false"/>
          <w:iCs w:val="false"/>
          <w:sz w:val="22"/>
          <w:szCs w:val="22"/>
        </w:rPr>
        <w:t xml:space="preserve"> Het bestuur moet onderbouwen dat de belangen van alle betrokken groepen — actieve deelnemers, gewezen deelnemers (slapers), pensioengerechtigden — adequaat zijn meegewogen. Dit is geen slag om de arm maar een toetsbare norm: DNB beoordeelt expliciet of de belangenafweging aan de norm voldoet, rekening houdend met de specifieke omstandigheden van het fonds.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Netto profijt als maatstaf, met een waarschuwing.</w:t>
      </w:r>
      <w:r>
        <w:rPr>
          <w:rFonts w:ascii="Calibri" w:cs="Calibri" w:eastAsia="Calibri" w:hAnsi="Calibri"/>
          <w:b w:val="false"/>
          <w:bCs w:val="false"/>
          <w:i w:val="false"/>
          <w:iCs w:val="false"/>
          <w:sz w:val="22"/>
          <w:szCs w:val="22"/>
        </w:rPr>
        <w:t xml:space="preserve"> Een veelgebruikte maatstaf voor evenwichtigheid is het “netto profijt” — een becijfering van winst of verlies per deelnemersgroep door de overgang. Een belangrijke nuance die je als adviseur moet kennen: streven naar een netto profijt van exact 0% voor iedereen is </w:t>
      </w:r>
      <w:r>
        <w:rPr>
          <w:rFonts w:ascii="Calibri" w:cs="Calibri" w:eastAsia="Calibri" w:hAnsi="Calibri"/>
          <w:b/>
          <w:bCs/>
          <w:i w:val="false"/>
          <w:iCs w:val="false"/>
          <w:sz w:val="22"/>
          <w:szCs w:val="22"/>
        </w:rPr>
        <w:t xml:space="preserve">geen</w:t>
      </w:r>
      <w:r>
        <w:rPr>
          <w:rFonts w:ascii="Calibri" w:cs="Calibri" w:eastAsia="Calibri" w:hAnsi="Calibri"/>
          <w:b w:val="false"/>
          <w:bCs w:val="false"/>
          <w:i w:val="false"/>
          <w:iCs w:val="false"/>
          <w:sz w:val="22"/>
          <w:szCs w:val="22"/>
        </w:rPr>
        <w:t xml:space="preserve"> vanzelfsprekend evenwichtige uitkomst. Een uitkomst van 0% betekent feitelijk een voortzetting van de huidige spelregels — en de huidige spelregels waren nu juist het onderwerp van de stelselherziening (deel 1, de doorsneesystematiek). Netto profijt is een nuttige maar complexe maatstaf die met voorzichtigheid moet worden geïnterpreteerd; een ongelijke verdeling ervan zegt wel iets, maar zeker niet alles, over de evenwichtigheid van het geheel.</w:t>
      </w:r>
    </w:p>
    <w:p>
      <w:pPr>
        <w:spacing w:after="100"/>
      </w:pPr>
    </w:p>
    <w:p>
      <w:pPr>
        <w:pStyle w:val="Heading2"/>
        <w:spacing w:after="120" w:before="200"/>
      </w:pPr>
      <w:r>
        <w:rPr>
          <w:rFonts w:ascii="Georgia" w:cs="Georgia" w:eastAsia="Georgia" w:hAnsi="Georgia"/>
          <w:b/>
          <w:bCs/>
          <w:color w:val="2563A8"/>
          <w:sz w:val="28"/>
          <w:szCs w:val="28"/>
        </w:rPr>
        <w:t xml:space="preserve">16.6 Geen individueel bezwaarrecht — en waarom dat zo is</w:t>
      </w:r>
    </w:p>
    <w:p>
      <w:pPr>
        <w:spacing w:after="140" w:line="300"/>
      </w:pPr>
      <w:r>
        <w:rPr>
          <w:rFonts w:ascii="Calibri" w:cs="Calibri" w:eastAsia="Calibri" w:hAnsi="Calibri"/>
          <w:b w:val="false"/>
          <w:bCs w:val="false"/>
          <w:i w:val="false"/>
          <w:iCs w:val="false"/>
          <w:sz w:val="22"/>
          <w:szCs w:val="22"/>
        </w:rPr>
        <w:t xml:space="preserve">Zoals in deel 5 vastgesteld: er is geen individueel bezwaarrecht van de deelnemer tegen het invaarbesluit als zodanig. De rechtsbescherming loopt via andere kanalen:</w:t>
      </w:r>
    </w:p>
    <w:p>
      <w:pPr>
        <w:pStyle w:val="ListParagraph"/>
        <w:numPr>
          <w:ilvl w:val="0"/>
          <w:numId w:val="1"/>
        </w:numPr>
        <w:spacing w:after="80"/>
      </w:pPr>
      <w:r>
        <w:rPr>
          <w:rFonts w:ascii="Calibri" w:cs="Calibri" w:eastAsia="Calibri" w:hAnsi="Calibri"/>
          <w:sz w:val="22"/>
          <w:szCs w:val="22"/>
        </w:rPr>
        <w:t xml:space="preserve">de fondsorganen — het verantwoordingsorgaan of belanghebbendenorgaan, dat een rol speelt bij de besluitvorming;</w:t>
      </w:r>
    </w:p>
    <w:p>
      <w:pPr>
        <w:pStyle w:val="ListParagraph"/>
        <w:numPr>
          <w:ilvl w:val="0"/>
          <w:numId w:val="1"/>
        </w:numPr>
        <w:spacing w:after="80"/>
      </w:pPr>
      <w:r>
        <w:rPr>
          <w:rFonts w:ascii="Calibri" w:cs="Calibri" w:eastAsia="Calibri" w:hAnsi="Calibri"/>
          <w:sz w:val="22"/>
          <w:szCs w:val="22"/>
        </w:rPr>
        <w:t xml:space="preserve">het interne toezicht van het fonds;</w:t>
      </w:r>
    </w:p>
    <w:p>
      <w:pPr>
        <w:pStyle w:val="ListParagraph"/>
        <w:numPr>
          <w:ilvl w:val="0"/>
          <w:numId w:val="1"/>
        </w:numPr>
        <w:spacing w:after="80"/>
      </w:pPr>
      <w:r>
        <w:rPr>
          <w:rFonts w:ascii="Calibri" w:cs="Calibri" w:eastAsia="Calibri" w:hAnsi="Calibri"/>
          <w:sz w:val="22"/>
          <w:szCs w:val="22"/>
        </w:rPr>
        <w:t xml:space="preserve">het toezicht van DNB, dat het besluit beoordeelt vóórdat het wordt geëffectueerd;</w:t>
      </w:r>
    </w:p>
    <w:p>
      <w:pPr>
        <w:pStyle w:val="ListParagraph"/>
        <w:numPr>
          <w:ilvl w:val="0"/>
          <w:numId w:val="1"/>
        </w:numPr>
        <w:spacing w:after="80"/>
      </w:pPr>
      <w:r>
        <w:rPr>
          <w:rFonts w:ascii="Calibri" w:cs="Calibri" w:eastAsia="Calibri" w:hAnsi="Calibri"/>
          <w:sz w:val="22"/>
          <w:szCs w:val="22"/>
        </w:rPr>
        <w:t xml:space="preserve">de klachten- en geschillenroute achteraf, voor wie meent dat de uitkomst voor hem onjuist is toegepast.</w:t>
      </w:r>
    </w:p>
    <w:p>
      <w:pPr>
        <w:spacing w:after="140" w:line="300"/>
      </w:pPr>
      <w:r>
        <w:rPr>
          <w:rFonts w:ascii="Calibri" w:cs="Calibri" w:eastAsia="Calibri" w:hAnsi="Calibri"/>
          <w:b w:val="false"/>
          <w:bCs w:val="false"/>
          <w:i w:val="false"/>
          <w:iCs w:val="false"/>
          <w:sz w:val="22"/>
          <w:szCs w:val="22"/>
        </w:rPr>
        <w:t xml:space="preserve">De achterliggende gedachte: invaren is een collectieve operatie die het hele fonds tegelijk raakt. Een individueel bezwaarrecht zou de collectieve besluitvorming — en daarmee de evenwichtigheid voor de groep als geheel — ondermijnbaar maken door een klein aantal individuele bezwaren. Bij een collectieve waardeoverdracht (16.4) ligt dat anders, omdat het daar vaker gaat om een overdracht van een afgebakende, kleinere groep naar een geheel andere uitvoerder, met een eigen contractuele grondslag.</w:t>
      </w:r>
    </w:p>
    <w:p>
      <w:pPr>
        <w:spacing w:after="100"/>
      </w:pPr>
    </w:p>
    <w:p>
      <w:pPr>
        <w:pStyle w:val="Heading2"/>
        <w:spacing w:after="120" w:before="200"/>
      </w:pPr>
      <w:r>
        <w:rPr>
          <w:rFonts w:ascii="Georgia" w:cs="Georgia" w:eastAsia="Georgia" w:hAnsi="Georgia"/>
          <w:b/>
          <w:bCs/>
          <w:color w:val="2563A8"/>
          <w:sz w:val="28"/>
          <w:szCs w:val="28"/>
        </w:rPr>
        <w:t xml:space="preserve">16.7 De omrekenmethoden: standaardmethode en vba-methode</w:t>
      </w:r>
    </w:p>
    <w:p>
      <w:pPr>
        <w:spacing w:after="140" w:line="300"/>
      </w:pPr>
      <w:r>
        <w:rPr>
          <w:rFonts w:ascii="Calibri" w:cs="Calibri" w:eastAsia="Calibri" w:hAnsi="Calibri"/>
          <w:b w:val="false"/>
          <w:bCs w:val="false"/>
          <w:i w:val="false"/>
          <w:iCs w:val="false"/>
          <w:sz w:val="22"/>
          <w:szCs w:val="22"/>
        </w:rPr>
        <w:t xml:space="preserve">Bij het invaren moeten de bestaande pensioenaanspraken worden gewaardeerd en omgerekend naar persoonlijke pensioenvermogens. Twee methoden zijn wettelijk toegestaan.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standaardmethode — de wettelijke voorkeursmethode.</w:t>
      </w:r>
      <w:r>
        <w:rPr>
          <w:rFonts w:ascii="Calibri" w:cs="Calibri" w:eastAsia="Calibri" w:hAnsi="Calibri"/>
          <w:b w:val="false"/>
          <w:bCs w:val="false"/>
          <w:i w:val="false"/>
          <w:iCs w:val="false"/>
          <w:sz w:val="22"/>
          <w:szCs w:val="22"/>
        </w:rPr>
        <w:t xml:space="preserve"> &lt;cite index=“90-1”&gt;Relatief eenvoudig in de berekeningswijze en algemeen toepasbaar.&lt;/cite&gt; &lt;cite index=“96-1”&gt;Deze methode is het uitgangspunt; wordt zij gebruikt, dan is doorgaans geen aanvullende onderbouwing nodig — het fonds kan verwijzen naar het wettelijk kader zelf.&lt;/cite&gt;</w:t>
      </w:r>
    </w:p>
    <w:p>
      <w:pPr>
        <w:spacing w:after="140" w:line="300"/>
      </w:pPr>
      <w:r>
        <w:rPr>
          <w:rFonts w:ascii="Calibri" w:cs="Calibri" w:eastAsia="Calibri" w:hAnsi="Calibri"/>
          <w:b w:val="false"/>
          <w:bCs w:val="false"/>
          <w:i w:val="false"/>
          <w:iCs w:val="false"/>
          <w:sz w:val="22"/>
          <w:szCs w:val="22"/>
        </w:rPr>
        <w:t xml:space="preserve">De standaardmethode kent, sterk vereenvoudigd, drie stappen:</w:t>
      </w:r>
    </w:p>
    <w:p>
      <w:pPr>
        <w:pStyle w:val="ListParagraph"/>
        <w:numPr>
          <w:ilvl w:val="0"/>
          <w:numId w:val="1"/>
        </w:numPr>
        <w:spacing w:after="80"/>
      </w:pPr>
      <w:r>
        <w:rPr>
          <w:rFonts w:ascii="Calibri" w:cs="Calibri" w:eastAsia="Calibri" w:hAnsi="Calibri"/>
          <w:sz w:val="22"/>
          <w:szCs w:val="22"/>
        </w:rPr>
        <w:t xml:space="preserve">1. Bepaal het beschikbare vermogen waarop de standaardregel wordt toegepast.</w:t>
      </w:r>
    </w:p>
    <w:p>
      <w:pPr>
        <w:pStyle w:val="ListParagraph"/>
        <w:numPr>
          <w:ilvl w:val="0"/>
          <w:numId w:val="1"/>
        </w:numPr>
        <w:spacing w:after="80"/>
      </w:pPr>
      <w:r>
        <w:rPr>
          <w:rFonts w:ascii="Calibri" w:cs="Calibri" w:eastAsia="Calibri" w:hAnsi="Calibri"/>
          <w:sz w:val="22"/>
          <w:szCs w:val="22"/>
        </w:rPr>
        <w:t xml:space="preserve">2. &lt;cite index=“90-1”&gt;Pas de standaardregel toe: de bestaande aanspraken worden omgerekend naar persoonlijke pensioenvermogens, waarbij de verhoog- en verlaagregels van het huidige toetsingskader worden benaderd door een tekort of overschot over een spreidingstermijn te verdelen — standaard tien jaar, met de mogelijkheid om hiervan onderbouwd af te wijken, bijvoorbeeld vanuit evenwichtigheidsoverwegingen.&lt;/cite&gt;</w:t>
      </w:r>
    </w:p>
    <w:p>
      <w:pPr>
        <w:pStyle w:val="ListParagraph"/>
        <w:numPr>
          <w:ilvl w:val="0"/>
          <w:numId w:val="1"/>
        </w:numPr>
        <w:spacing w:after="80"/>
      </w:pPr>
      <w:r>
        <w:rPr>
          <w:rFonts w:ascii="Calibri" w:cs="Calibri" w:eastAsia="Calibri" w:hAnsi="Calibri"/>
          <w:sz w:val="22"/>
          <w:szCs w:val="22"/>
        </w:rPr>
        <w:t xml:space="preserve">3. &lt;cite index=“90-1”&gt;Het fonds heeft eventueel nog de mogelijkheid om af te wijken van de uitkomst van de standaardregel, onder voorwaarden die samenhangen met de dekkingsgraad op het moment van invaren&lt;/cite&gt; — bijvoorbeeld om een solidariteits- of risicodelingsreserve te vullen, of een compensatiedepot te voeden (deel 7).</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vba-methode (value based ALM).</w:t>
      </w:r>
      <w:r>
        <w:rPr>
          <w:rFonts w:ascii="Calibri" w:cs="Calibri" w:eastAsia="Calibri" w:hAnsi="Calibri"/>
          <w:b w:val="false"/>
          <w:bCs w:val="false"/>
          <w:i w:val="false"/>
          <w:iCs w:val="false"/>
          <w:sz w:val="22"/>
          <w:szCs w:val="22"/>
        </w:rPr>
        <w:t xml:space="preserve"> &lt;cite index=“96-1”&gt;Een fonds kan hiervoor kiezen als deze methode de bijzondere kenmerken van de pensioenregeling en het fonds beter modelleert&lt;/cite&gt; — bijvoorbeeld bij een complexe regeling of een bijzondere samenstelling van het deelnemersbestand. &lt;cite index=“92-1”&gt;Hierbij bepaalt het fonds de marktwaarde van de opgebouwde aanspraken bij ongewijzigde voortzetting, en vergelijkt die met de marktwaarde in de gewijzigde regeling.&lt;/cite&gt; Deze methode vraagt, in tegenstelling tot de standaardmethode, wél een uitgebreide eigen onderbouwing in het implementatieplan.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je hiervan moet onthouden voor de adviespraktijk (niet om zelf te berekenen — dat is aan de actuaris van het fonds):</w:t>
      </w:r>
      <w:r>
        <w:rPr>
          <w:rFonts w:ascii="Calibri" w:cs="Calibri" w:eastAsia="Calibri" w:hAnsi="Calibri"/>
          <w:b w:val="false"/>
          <w:bCs w:val="false"/>
          <w:i w:val="false"/>
          <w:iCs w:val="false"/>
          <w:sz w:val="22"/>
          <w:szCs w:val="22"/>
        </w:rPr>
        <w:t xml:space="preserve"> de gekozen methode bepaalt mede hoeveel ruimte het fonds heeft om bewust te sturen op evenwichtigheid tussen groepen, en of extra onderbouwing nodig is. Bij vragen van deelnemers over “hoe is mijn oude pensioen precies omgerekend” is het antwoord dus nooit universeel — het hangt af van de gekozen methode én van het fondsspecifieke maatwerk daarbinnen.</w:t>
      </w:r>
    </w:p>
    <w:p>
      <w:pPr>
        <w:spacing w:after="100"/>
      </w:pPr>
    </w:p>
    <w:p>
      <w:pPr>
        <w:pStyle w:val="Heading2"/>
        <w:spacing w:after="120" w:before="200"/>
      </w:pPr>
      <w:r>
        <w:rPr>
          <w:rFonts w:ascii="Georgia" w:cs="Georgia" w:eastAsia="Georgia" w:hAnsi="Georgia"/>
          <w:b/>
          <w:bCs/>
          <w:color w:val="2563A8"/>
          <w:sz w:val="28"/>
          <w:szCs w:val="28"/>
        </w:rPr>
        <w:t xml:space="preserve">16.8 Dekkingsgraadgrenzen</w:t>
      </w:r>
    </w:p>
    <w:p>
      <w:pPr>
        <w:spacing w:after="140" w:line="300"/>
      </w:pPr>
      <w:r>
        <w:rPr>
          <w:rFonts w:ascii="Calibri" w:cs="Calibri" w:eastAsia="Calibri" w:hAnsi="Calibri"/>
          <w:b w:val="false"/>
          <w:bCs w:val="false"/>
          <w:i w:val="false"/>
          <w:iCs w:val="false"/>
          <w:sz w:val="22"/>
          <w:szCs w:val="22"/>
        </w:rPr>
        <w:t xml:space="preserve">Invaren kan niet onder alle financiële omstandigheden zomaar plaatsvinden. Twee grenzen zijn relevant: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90%-grens.</w:t>
      </w:r>
      <w:r>
        <w:rPr>
          <w:rFonts w:ascii="Calibri" w:cs="Calibri" w:eastAsia="Calibri" w:hAnsi="Calibri"/>
          <w:b w:val="false"/>
          <w:bCs w:val="false"/>
          <w:i w:val="false"/>
          <w:iCs w:val="false"/>
          <w:sz w:val="22"/>
          <w:szCs w:val="22"/>
        </w:rPr>
        <w:t xml:space="preserve"> &lt;cite index=“96-1”&gt;Een pensioenfonds met een dekkingsgraad lager dan 90% moet tijdig maatregelen nemen zodat de dekkingsgraad bij invaren ten minste 90% bedraagt.&lt;/cite&gt; Een fonds mag dus niet vanuit een te zwakke financiële positie invaren zonder eerst te herstellen.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95%-rekenregelgrens.</w:t>
      </w:r>
      <w:r>
        <w:rPr>
          <w:rFonts w:ascii="Calibri" w:cs="Calibri" w:eastAsia="Calibri" w:hAnsi="Calibri"/>
          <w:b w:val="false"/>
          <w:bCs w:val="false"/>
          <w:i w:val="false"/>
          <w:iCs w:val="false"/>
          <w:sz w:val="22"/>
          <w:szCs w:val="22"/>
        </w:rPr>
        <w:t xml:space="preserve"> &lt;cite index=“96-1”&gt;Bij invaren moet de waarde van de pensioenaanspraak of het pensioenrecht van iedere deelnemer, gewezen deelnemer of pensioengerechtigde — ongeacht de gebruikte omrekenmethode — ten minste 95% bedragen van een wettelijk voorgeschreven referentiewaarde.&lt;/cite&gt; Dit is een individuele ondergrens: zelfs binnen een fonds dat gemiddeld gezond is, mag geen individuele deelnemer onevenredig hard worden geraakt door de omrekening.</w:t>
      </w:r>
    </w:p>
    <w:p>
      <w:pPr>
        <w:spacing w:after="140" w:line="300"/>
      </w:pPr>
      <w:r>
        <w:rPr>
          <w:rFonts w:ascii="Calibri" w:cs="Calibri" w:eastAsia="Calibri" w:hAnsi="Calibri"/>
          <w:b w:val="false"/>
          <w:bCs w:val="false"/>
          <w:i w:val="false"/>
          <w:iCs w:val="false"/>
          <w:sz w:val="22"/>
          <w:szCs w:val="22"/>
        </w:rPr>
        <w:t xml:space="preserve">Beide grenzen zijn een concrete uitwerking van het evenwichtigheidsbeginsel uit 16.5: zij vertalen een open norm naar toetsbare percentages.</w:t>
      </w:r>
    </w:p>
    <w:p>
      <w:pPr>
        <w:spacing w:after="100"/>
      </w:pPr>
    </w:p>
    <w:p>
      <w:pPr>
        <w:pStyle w:val="Heading2"/>
        <w:spacing w:after="120" w:before="200"/>
      </w:pPr>
      <w:r>
        <w:rPr>
          <w:rFonts w:ascii="Georgia" w:cs="Georgia" w:eastAsia="Georgia" w:hAnsi="Georgia"/>
          <w:b/>
          <w:bCs/>
          <w:color w:val="2563A8"/>
          <w:sz w:val="28"/>
          <w:szCs w:val="28"/>
        </w:rPr>
        <w:t xml:space="preserve">16.9 De casus: drie fondsen, drie uitkomsten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Bpf Techniek &amp; Installatie.</w:t>
      </w:r>
      <w:r>
        <w:rPr>
          <w:rFonts w:ascii="Calibri" w:cs="Calibri" w:eastAsia="Calibri" w:hAnsi="Calibri"/>
          <w:b w:val="false"/>
          <w:bCs w:val="false"/>
          <w:i w:val="false"/>
          <w:iCs w:val="false"/>
          <w:sz w:val="22"/>
          <w:szCs w:val="22"/>
        </w:rPr>
        <w:t xml:space="preserve"> Verplichtgesteld, 380.000 deelnemers, gaat per 1 januari 2027 over op de solidaire premieregeling. Gezien de omvang en het gebruikelijke profiel van een bedrijfstakfonds ligt de standaardmethode voor de hand. De evenwichtigheidsafweging moet expliciet rekening houden met de positie van vrijgestelde werkgevers zoals Van Doorn Techniek, wier eigen regeling aan de gelijkwaardigheidseis moet blijven voldoen (deel 4) — al is dat primair een vraag voor Van Doorn zelf, niet voor het fondsbestuur.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Pensioenfonds Delta Chemie.</w:t>
      </w:r>
      <w:r>
        <w:rPr>
          <w:rFonts w:ascii="Calibri" w:cs="Calibri" w:eastAsia="Calibri" w:hAnsi="Calibri"/>
          <w:b w:val="false"/>
          <w:bCs w:val="false"/>
          <w:i w:val="false"/>
          <w:iCs w:val="false"/>
          <w:sz w:val="22"/>
          <w:szCs w:val="22"/>
        </w:rPr>
        <w:t xml:space="preserve"> Ondernemingspensioenfonds, 9.000 deelnemers, tweederde inactief. Hier ligt de vraag anders: vóór er sprake kan zijn van invaren in een eigen, voortgezette regeling, ligt de vraag of het fonds zelfstandig blijft bestaan. Kiest het bestuur voor liquidatie met overdracht naar een APF, bpf of verzekeraar, dan is niet invaren maar </w:t>
      </w:r>
      <w:r>
        <w:rPr>
          <w:rFonts w:ascii="Calibri" w:cs="Calibri" w:eastAsia="Calibri" w:hAnsi="Calibri"/>
          <w:b/>
          <w:bCs/>
          <w:i w:val="false"/>
          <w:iCs w:val="false"/>
          <w:sz w:val="22"/>
          <w:szCs w:val="22"/>
        </w:rPr>
        <w:t xml:space="preserve">collectieve waardeoverdracht</w:t>
      </w:r>
      <w:r>
        <w:rPr>
          <w:rFonts w:ascii="Calibri" w:cs="Calibri" w:eastAsia="Calibri" w:hAnsi="Calibri"/>
          <w:b w:val="false"/>
          <w:bCs w:val="false"/>
          <w:i w:val="false"/>
          <w:iCs w:val="false"/>
          <w:sz w:val="22"/>
          <w:szCs w:val="22"/>
        </w:rPr>
        <w:t xml:space="preserve"> het relevante instrument — met het individuele bezwaarrecht dat daarbij hoort, en dus een andere rechtsbeschermingsroute voor de 9.000 deelnemers dan bij invaren het geval zou zijn.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Van Doorn Techniek.</w:t>
      </w:r>
      <w:r>
        <w:rPr>
          <w:rFonts w:ascii="Calibri" w:cs="Calibri" w:eastAsia="Calibri" w:hAnsi="Calibri"/>
          <w:b w:val="false"/>
          <w:bCs w:val="false"/>
          <w:i w:val="false"/>
          <w:iCs w:val="false"/>
          <w:sz w:val="22"/>
          <w:szCs w:val="22"/>
        </w:rPr>
        <w:t xml:space="preserve"> Geen fonds, dus geen invaren. Bij een contractwissel (Route B uit deel 14) blijft het opgebouwde kapitaal achter bij Meridiaan, tenzij een individuele waardeoverdracht wordt aangevraagd (deel 9) — Van Doorn kent geen collectieve waardeoverdracht in de fondszin, want er is geen tweede fondsorganisatie in het spel.</w:t>
      </w:r>
    </w:p>
    <w:p>
      <w:pPr>
        <w:spacing w:after="140" w:line="300"/>
      </w:pPr>
      <w:r>
        <w:rPr>
          <w:rFonts w:ascii="Calibri" w:cs="Calibri" w:eastAsia="Calibri" w:hAnsi="Calibri"/>
          <w:b w:val="false"/>
          <w:bCs w:val="false"/>
          <w:i w:val="false"/>
          <w:iCs w:val="false"/>
          <w:sz w:val="22"/>
          <w:szCs w:val="22"/>
        </w:rPr>
        <w:t xml:space="preserve">Deze drie casussen laten in één oogopslag zien waarom de vraag “wat gebeurt er met bestaande aanspraken” nooit met één antwoord kan worden beantwoord — het hangt af van het type uitvoerder, exact zoals de kernzin uit deel 5 al aangaf.</w:t>
      </w:r>
    </w:p>
    <w:p>
      <w:pPr>
        <w:spacing w:after="100"/>
      </w:pPr>
    </w:p>
    <w:p>
      <w:pPr>
        <w:pStyle w:val="Heading2"/>
        <w:spacing w:after="120" w:before="200"/>
      </w:pPr>
      <w:r>
        <w:rPr>
          <w:rFonts w:ascii="Georgia" w:cs="Georgia" w:eastAsia="Georgia" w:hAnsi="Georgia"/>
          <w:b/>
          <w:bCs/>
          <w:color w:val="2563A8"/>
          <w:sz w:val="28"/>
          <w:szCs w:val="28"/>
        </w:rPr>
        <w:t xml:space="preserve">16.10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Invaren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Collectieve omzetting van bestaande aanspraken naar persoonlijke pensioenvermogens bij een fonds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Collectieve waardeoverdracht (CWO)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Overdracht van de aanspraken van een groep deelnemers tussen uitvoerders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Standaardmethode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Wettelijke voorkeursmethode voor waardering bij invaren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Vba-methode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Alternatieve methode, vraagt eigen onderbouwing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Netto profijt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Maatstaf voor winst/verlies per deelnemersgroep bij de transitie, met beperkingen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90%-grens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Minimale dekkingsgraad bij invaren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95%-rekenregelgrens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Individuele ondergrens voor de waarde na omrekening</w:t>
            </w:r>
          </w:p>
        </w:tc>
      </w:tr>
    </w:tbl>
    <w:p>
      <w:pPr>
        <w:spacing w:after="100"/>
      </w:pPr>
    </w:p>
    <w:p>
      <w:pPr>
        <w:pStyle w:val="Heading2"/>
        <w:spacing w:after="120" w:before="200"/>
      </w:pPr>
      <w:r>
        <w:rPr>
          <w:rFonts w:ascii="Georgia" w:cs="Georgia" w:eastAsia="Georgia" w:hAnsi="Georgia"/>
          <w:b/>
          <w:bCs/>
          <w:color w:val="2563A8"/>
          <w:sz w:val="28"/>
          <w:szCs w:val="28"/>
        </w:rPr>
        <w:t xml:space="preserve">16.11 Samenvatting</w:t>
      </w:r>
    </w:p>
    <w:p>
      <w:pPr>
        <w:pStyle w:val="ListParagraph"/>
        <w:numPr>
          <w:ilvl w:val="0"/>
          <w:numId w:val="1"/>
        </w:numPr>
        <w:spacing w:after="80"/>
      </w:pPr>
      <w:r>
        <w:rPr>
          <w:rFonts w:ascii="Calibri" w:cs="Calibri" w:eastAsia="Calibri" w:hAnsi="Calibri"/>
          <w:sz w:val="22"/>
          <w:szCs w:val="22"/>
        </w:rPr>
        <w:t xml:space="preserve">Er zijn drie routes voor bestaande aanspraken: achterblijven, waardeoverdracht, invaren — met verschillend initiatief en verschillende rechtsbescherming.</w:t>
      </w:r>
    </w:p>
    <w:p>
      <w:pPr>
        <w:pStyle w:val="ListParagraph"/>
        <w:numPr>
          <w:ilvl w:val="0"/>
          <w:numId w:val="1"/>
        </w:numPr>
        <w:spacing w:after="80"/>
      </w:pPr>
      <w:r>
        <w:rPr>
          <w:rFonts w:ascii="Calibri" w:cs="Calibri" w:eastAsia="Calibri" w:hAnsi="Calibri"/>
          <w:sz w:val="22"/>
          <w:szCs w:val="22"/>
        </w:rPr>
        <w:t xml:space="preserve">Bij collectieve waardeoverdracht bestaat een individueel bezwaarrecht; bij invaren niet.</w:t>
      </w:r>
    </w:p>
    <w:p>
      <w:pPr>
        <w:pStyle w:val="ListParagraph"/>
        <w:numPr>
          <w:ilvl w:val="0"/>
          <w:numId w:val="1"/>
        </w:numPr>
        <w:spacing w:after="80"/>
      </w:pPr>
      <w:r>
        <w:rPr>
          <w:rFonts w:ascii="Calibri" w:cs="Calibri" w:eastAsia="Calibri" w:hAnsi="Calibri"/>
          <w:sz w:val="22"/>
          <w:szCs w:val="22"/>
        </w:rPr>
        <w:t xml:space="preserve">Invaren gebeurt via de standaardmethode (wettelijke voorkeur, weinig aanvullende onderbouwing nodig) of de vba-methode (maatwerk, wel aanvullende onderbouwing).</w:t>
      </w:r>
    </w:p>
    <w:p>
      <w:pPr>
        <w:pStyle w:val="ListParagraph"/>
        <w:numPr>
          <w:ilvl w:val="0"/>
          <w:numId w:val="1"/>
        </w:numPr>
        <w:spacing w:after="80"/>
      </w:pPr>
      <w:r>
        <w:rPr>
          <w:rFonts w:ascii="Calibri" w:cs="Calibri" w:eastAsia="Calibri" w:hAnsi="Calibri"/>
          <w:sz w:val="22"/>
          <w:szCs w:val="22"/>
        </w:rPr>
        <w:t xml:space="preserve">Netto profijt van 0% is geen vanzelfsprekend evenwichtige uitkomst — het bestendigt juist de oude spelregels.</w:t>
      </w:r>
    </w:p>
    <w:p>
      <w:pPr>
        <w:pStyle w:val="ListParagraph"/>
        <w:numPr>
          <w:ilvl w:val="0"/>
          <w:numId w:val="1"/>
        </w:numPr>
        <w:spacing w:after="80"/>
      </w:pPr>
      <w:r>
        <w:rPr>
          <w:rFonts w:ascii="Calibri" w:cs="Calibri" w:eastAsia="Calibri" w:hAnsi="Calibri"/>
          <w:sz w:val="22"/>
          <w:szCs w:val="22"/>
        </w:rPr>
        <w:t xml:space="preserve">De 90%- en 95%-grenzen vertalen evenwichtigheid naar toetsbare financiële ondergrenzen.</w:t>
      </w:r>
    </w:p>
    <w:p>
      <w:pPr>
        <w:pStyle w:val="ListParagraph"/>
        <w:numPr>
          <w:ilvl w:val="0"/>
          <w:numId w:val="1"/>
        </w:numPr>
        <w:spacing w:after="80"/>
      </w:pPr>
      <w:r>
        <w:rPr>
          <w:rFonts w:ascii="Calibri" w:cs="Calibri" w:eastAsia="Calibri" w:hAnsi="Calibri"/>
          <w:sz w:val="22"/>
          <w:szCs w:val="22"/>
        </w:rPr>
        <w:t xml:space="preserve">Bpf T&amp;I, Delta Chemie en Van Doorn Techniek doorlopen alle drie een andere route, precies volgens het type-uitvoerder-onderscheid uit deel 1.</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17.</w:t>
      </w:r>
      <w:r>
        <w:rPr>
          <w:rFonts w:ascii="Calibri" w:cs="Calibri" w:eastAsia="Calibri" w:hAnsi="Calibri"/>
          <w:b w:val="false"/>
          <w:bCs w:val="false"/>
          <w:i w:val="false"/>
          <w:iCs w:val="false"/>
          <w:sz w:val="22"/>
          <w:szCs w:val="22"/>
        </w:rPr>
        <w:t xml:space="preserve"> Nu het lot van elke euro — nieuw en oud — helder is, gaan we naar de vraag hoe dit alles aan de deelnemer wordt uitgelegd. Deel 17 behandelt pensioencommunicatie, transitieoverzichten en de wettelijke norm keuzebegeleiding: niet alleen wát er verandert, maar hoe je dat op een manier vertelt die deelnemers daadwerkelijk in staat stelt een goede keuze te maken.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2026-08-17T11:22:45.211Z</dcterms:created>
  <dcterms:modified xsi:type="dcterms:W3CDTF">2026-08-17T11:22:45.211Z</dcterms:modified>
</cp:coreProperties>
</file>

<file path=docProps/custom.xml><?xml version="1.0" encoding="utf-8"?>
<Properties xmlns="http://schemas.openxmlformats.org/officeDocument/2006/custom-properties" xmlns:vt="http://schemas.openxmlformats.org/officeDocument/2006/docPropsVTypes"/>
</file>