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16 — Werkboek</w:t>
      </w:r>
    </w:p>
    <w:p>
      <w:pPr>
        <w:spacing w:after="300"/>
      </w:pPr>
      <w:r>
        <w:rPr>
          <w:rFonts w:ascii="Calibri" w:cs="Calibri" w:eastAsia="Calibri" w:hAnsi="Calibri"/>
          <w:i/>
          <w:iCs/>
          <w:color w:val="2563A8"/>
          <w:sz w:val="22"/>
          <w:szCs w:val="22"/>
        </w:rPr>
        <w:t xml:space="preserve">Niveau 2 — Uitvoering en advies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16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2 · Uitvoering en advies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16.1 — De drie routes herkennen</w:t>
      </w:r>
    </w:p>
    <w:p>
      <w:pPr>
        <w:spacing w:after="140" w:line="300"/>
      </w:pPr>
      <w:r>
        <w:rPr>
          <w:rFonts w:ascii="Calibri" w:cs="Calibri" w:eastAsia="Calibri" w:hAnsi="Calibri"/>
          <w:b w:val="false"/>
          <w:bCs w:val="false"/>
          <w:i w:val="false"/>
          <w:iCs w:val="false"/>
          <w:sz w:val="22"/>
          <w:szCs w:val="22"/>
        </w:rPr>
        <w:t xml:space="preserve">Welke route is aan de orde?</w:t>
      </w:r>
    </w:p>
    <w:p>
      <w:pPr>
        <w:spacing w:after="140" w:line="300"/>
      </w:pPr>
      <w:r>
        <w:rPr>
          <w:rFonts w:ascii="Calibri" w:cs="Calibri" w:eastAsia="Calibri" w:hAnsi="Calibri"/>
          <w:b w:val="false"/>
          <w:bCs w:val="false"/>
          <w:i w:val="false"/>
          <w:iCs w:val="false"/>
          <w:sz w:val="22"/>
          <w:szCs w:val="22"/>
        </w:rPr>
        <w:t xml:space="preserve">a. Bpf T&amp;I zet de bestaande middelloonaanspraken van al zijn deelnemers om naar persoonlijke pensioenvermogens.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Karel vraagt zijn premievrije aanspraak uit 1994-2010 over te dragen naar zijn huidige regeling bij Meridiaan.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Van Doorn wisselt van uitvoerder; het opgebouwde kapitaal bij Meridiaan blijft gewoon premievrij staan.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Delta Chemie draagt het complete deelnemersbestand over aan een APF.</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invaren. b: individuele waardeoverdracht. c: achterblijven. d: collectieve waardeoverdracht.</w:t>
            </w:r>
          </w:p>
        </w:tc>
      </w:tr>
    </w:tbl>
    <w:p>
      <w:pPr>
        <w:spacing w:after="100"/>
      </w:pPr>
    </w:p>
    <w:p>
      <w:pPr>
        <w:pStyle w:val="Heading2"/>
        <w:spacing w:after="120" w:before="200"/>
      </w:pPr>
      <w:r>
        <w:rPr>
          <w:rFonts w:ascii="Georgia" w:cs="Georgia" w:eastAsia="Georgia" w:hAnsi="Georgia"/>
          <w:b/>
          <w:bCs/>
          <w:color w:val="2563A8"/>
          <w:sz w:val="28"/>
          <w:szCs w:val="28"/>
        </w:rPr>
        <w:t xml:space="preserve">Opdracht 16.2 — Bezwaarrecht toepassen</w:t>
      </w:r>
    </w:p>
    <w:p>
      <w:pPr>
        <w:spacing w:after="140" w:line="300"/>
      </w:pPr>
      <w:r>
        <w:rPr>
          <w:rFonts w:ascii="Calibri" w:cs="Calibri" w:eastAsia="Calibri" w:hAnsi="Calibri"/>
          <w:b w:val="false"/>
          <w:bCs w:val="false"/>
          <w:i w:val="false"/>
          <w:iCs w:val="false"/>
          <w:sz w:val="22"/>
          <w:szCs w:val="22"/>
        </w:rPr>
        <w:t xml:space="preserve">Voor elke situatie: heeft de betrokken deelnemer een individueel bezwaarrecht?</w:t>
      </w:r>
    </w:p>
    <w:p>
      <w:pPr>
        <w:spacing w:after="140" w:line="300"/>
      </w:pPr>
      <w:r>
        <w:rPr>
          <w:rFonts w:ascii="Calibri" w:cs="Calibri" w:eastAsia="Calibri" w:hAnsi="Calibri"/>
          <w:b w:val="false"/>
          <w:bCs w:val="false"/>
          <w:i w:val="false"/>
          <w:iCs w:val="false"/>
          <w:sz w:val="22"/>
          <w:szCs w:val="22"/>
        </w:rPr>
        <w:t xml:space="preserve">a. Een deelnemer van Bpf T&amp;I bij het invaarbesluit van het fonds zelf.</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deelnemer van Delta Chemie bij een collectieve waardeoverdracht naar een APF.</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Karel, als hij zelf een individuele waardeoverdracht aanvraagt en er vervolgens spijt van krijgt vóórdat de overdracht is afgerond.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nee — geen individueel bezwaarrecht tegen het invaarbesluit als zodanig; rechtsbescherming loopt via fondsorganen, toezicht en de klachtenroute. b: ja — bij een collectieve waardeoverdracht bestaat een individueel bezwaarrecht. c: dit is geen bezwaarrecht in de zin van dit deel maar een eigen aanvraag die hij, afhankelijk van het stadium van het proces, mogelijk kan intrekken — een andere situatie dan een opgelegde collectieve operatie.</w:t>
            </w:r>
          </w:p>
        </w:tc>
      </w:tr>
    </w:tbl>
    <w:p>
      <w:pPr>
        <w:spacing w:after="100"/>
      </w:pPr>
    </w:p>
    <w:p>
      <w:pPr>
        <w:pStyle w:val="Heading2"/>
        <w:spacing w:after="120" w:before="200"/>
      </w:pPr>
      <w:r>
        <w:rPr>
          <w:rFonts w:ascii="Georgia" w:cs="Georgia" w:eastAsia="Georgia" w:hAnsi="Georgia"/>
          <w:b/>
          <w:bCs/>
          <w:color w:val="2563A8"/>
          <w:sz w:val="28"/>
          <w:szCs w:val="28"/>
        </w:rPr>
        <w:t xml:space="preserve">Opdracht 16.3 — Waarom geen individueel bezwaarrecht bij invaren?</w:t>
      </w:r>
    </w:p>
    <w:p>
      <w:pPr>
        <w:spacing w:after="140" w:line="300"/>
      </w:pPr>
      <w:r>
        <w:rPr>
          <w:rFonts w:ascii="Calibri" w:cs="Calibri" w:eastAsia="Calibri" w:hAnsi="Calibri"/>
          <w:b w:val="false"/>
          <w:bCs w:val="false"/>
          <w:i w:val="false"/>
          <w:iCs w:val="false"/>
          <w:sz w:val="22"/>
          <w:szCs w:val="22"/>
        </w:rPr>
        <w:t xml:space="preserve">Formuleer in eigen woorden, in maximaal vier zinnen, waarom de wetgever geen individueel bezwaarrecht heeft toegekend tegen een invaarbesluit, terwijl dat bij een collectieve waardeoverdracht wel bestaat.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Invaren is een collectieve operatie die het gehele fonds tegelijk en op dezelfde wijze raakt; een individueel bezwaarrecht zou de collectieve, voor de hele groep afgewogen evenwichtigheid ondermijnbaar maken door een klein aantal individuele bezwaren. Bij een collectieve waardeoverdracht gaat het vaker om een overdracht van een specifieke, afgebakende groep naar een andere uitvoerder met een eigen contractuele grondslag — een situatie die dichter bij een individuele beslissing ligt en waar rechtsbescherming per individu passender is geacht.</w:t>
            </w:r>
          </w:p>
        </w:tc>
      </w:tr>
    </w:tbl>
    <w:p>
      <w:pPr>
        <w:spacing w:after="100"/>
      </w:pPr>
    </w:p>
    <w:p>
      <w:pPr>
        <w:pStyle w:val="Heading2"/>
        <w:spacing w:after="120" w:before="200"/>
      </w:pPr>
      <w:r>
        <w:rPr>
          <w:rFonts w:ascii="Georgia" w:cs="Georgia" w:eastAsia="Georgia" w:hAnsi="Georgia"/>
          <w:b/>
          <w:bCs/>
          <w:color w:val="2563A8"/>
          <w:sz w:val="28"/>
          <w:szCs w:val="28"/>
        </w:rPr>
        <w:t xml:space="preserve">Opdracht 16.4 — Netto profijt van 0% *</w:t>
      </w:r>
    </w:p>
    <w:p>
      <w:pPr>
        <w:spacing w:after="140" w:line="300"/>
      </w:pPr>
      <w:r>
        <w:rPr>
          <w:rFonts w:ascii="Calibri" w:cs="Calibri" w:eastAsia="Calibri" w:hAnsi="Calibri"/>
          <w:b w:val="false"/>
          <w:bCs w:val="false"/>
          <w:i w:val="false"/>
          <w:iCs w:val="false"/>
          <w:sz w:val="22"/>
          <w:szCs w:val="22"/>
        </w:rPr>
        <w:t xml:space="preserve">Een fondsbestuurder zegt: “We hebben ons ingespannen om het netto profijt voor elke groep zo dicht mogelijk bij 0% te houden — dat is toch het meest eerlijke resultaat?”</w:t>
      </w:r>
    </w:p>
    <w:p>
      <w:pPr>
        <w:spacing w:after="140" w:line="300"/>
      </w:pPr>
      <w:r>
        <w:rPr>
          <w:rFonts w:ascii="Calibri" w:cs="Calibri" w:eastAsia="Calibri" w:hAnsi="Calibri"/>
          <w:b w:val="false"/>
          <w:bCs w:val="false"/>
          <w:i w:val="false"/>
          <w:iCs w:val="false"/>
          <w:sz w:val="22"/>
          <w:szCs w:val="22"/>
        </w:rPr>
        <w:t xml:space="preserve">a. Wat is het probleem met deze redenering?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had de bestuurder beter kunnen zeggen?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Een netto profijt van 0% betekent feitelijk het voortzetten van de huidige spelregels — en die spelregels waren nu juist het onderwerp van de stelselherziening (de doorsneesystematiek uit deel 1). “Zo dicht mogelijk bij 0%” klinkt neutraal maar is impliciet een keuze om de oude verdeling te bestendigen, wat niet automatisch de meest evenwichtige uitkomst is voor de nieuwe situatie.</w:t>
      </w:r>
    </w:p>
    <w:p>
      <w:pPr>
        <w:spacing w:after="140" w:line="300"/>
      </w:pPr>
      <w:r>
        <w:rPr>
          <w:rFonts w:ascii="Calibri" w:cs="Calibri" w:eastAsia="Calibri" w:hAnsi="Calibri"/>
          <w:b w:val="false"/>
          <w:bCs w:val="false"/>
          <w:i w:val="false"/>
          <w:iCs w:val="false"/>
          <w:sz w:val="22"/>
          <w:szCs w:val="22"/>
        </w:rPr>
        <w:t xml:space="preserve">b. Bijvoorbeeld: “We hebben de effecten per groep in kaart gebracht en beoordeeld of de verdeling ervan te rechtvaardigen is gezien de doelstellingen van de nieuwe regeling — niet uitsluitend of het gemiddelde bij nul uitkomt.” Dit erkent dat evenwichtigheid een inhoudelijke afweging is, geen rekenkundig doel.</w:t>
      </w:r>
    </w:p>
    <w:p>
      <w:pPr>
        <w:spacing w:after="100"/>
      </w:pPr>
    </w:p>
    <w:p>
      <w:pPr>
        <w:pStyle w:val="Heading2"/>
        <w:spacing w:after="120" w:before="200"/>
      </w:pPr>
      <w:r>
        <w:rPr>
          <w:rFonts w:ascii="Georgia" w:cs="Georgia" w:eastAsia="Georgia" w:hAnsi="Georgia"/>
          <w:b/>
          <w:bCs/>
          <w:color w:val="2563A8"/>
          <w:sz w:val="28"/>
          <w:szCs w:val="28"/>
        </w:rPr>
        <w:t xml:space="preserve">Opdracht 16.5 — Standaardmethode of vba-methode</w:t>
      </w:r>
    </w:p>
    <w:p>
      <w:pPr>
        <w:spacing w:after="140" w:line="300"/>
      </w:pPr>
      <w:r>
        <w:rPr>
          <w:rFonts w:ascii="Calibri" w:cs="Calibri" w:eastAsia="Calibri" w:hAnsi="Calibri"/>
          <w:b w:val="false"/>
          <w:bCs w:val="false"/>
          <w:i w:val="false"/>
          <w:iCs w:val="false"/>
          <w:sz w:val="22"/>
          <w:szCs w:val="22"/>
        </w:rPr>
        <w:t xml:space="preserve">Voor elk fonds: welke methode ligt voor de hand, en waarom?</w:t>
      </w:r>
    </w:p>
    <w:p>
      <w:pPr>
        <w:spacing w:after="140" w:line="300"/>
      </w:pPr>
      <w:r>
        <w:rPr>
          <w:rFonts w:ascii="Calibri" w:cs="Calibri" w:eastAsia="Calibri" w:hAnsi="Calibri"/>
          <w:b w:val="false"/>
          <w:bCs w:val="false"/>
          <w:i w:val="false"/>
          <w:iCs w:val="false"/>
          <w:sz w:val="22"/>
          <w:szCs w:val="22"/>
        </w:rPr>
        <w:t xml:space="preserve">a. Bpf T&amp;I, een groot, verplichtgesteld bedrijfstakfonds met een gangbare middelloonregeling.</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klein ondernemingspensioenfonds met een ongebruikelijke regeling en een sterk afwijkende leeftijdsopbouw van het bestand.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De standaardmethode — algemeen toepasbaar, wettelijke voorkeursmethode, en voor een gangbare regeling bij een groot fonds is aanvullende onderbouwing doorgaans niet nodig.</w:t>
      </w:r>
    </w:p>
    <w:p>
      <w:pPr>
        <w:spacing w:after="140" w:line="300"/>
      </w:pPr>
      <w:r>
        <w:rPr>
          <w:rFonts w:ascii="Calibri" w:cs="Calibri" w:eastAsia="Calibri" w:hAnsi="Calibri"/>
          <w:b w:val="false"/>
          <w:bCs w:val="false"/>
          <w:i w:val="false"/>
          <w:iCs w:val="false"/>
          <w:sz w:val="22"/>
          <w:szCs w:val="22"/>
        </w:rPr>
        <w:t xml:space="preserve">b. De vba-methode kan hier passender zijn, juist omdat de bijzondere kenmerken van de regeling en het bestand beter gemodelleerd moeten worden — met als prijs dat het fonds een uitgebreide eigen onderbouwing in het implementatieplan moet leveren.</w:t>
      </w:r>
    </w:p>
    <w:p>
      <w:pPr>
        <w:spacing w:after="100"/>
      </w:pPr>
    </w:p>
    <w:p>
      <w:pPr>
        <w:pStyle w:val="Heading2"/>
        <w:spacing w:after="120" w:before="200"/>
      </w:pPr>
      <w:r>
        <w:rPr>
          <w:rFonts w:ascii="Georgia" w:cs="Georgia" w:eastAsia="Georgia" w:hAnsi="Georgia"/>
          <w:b/>
          <w:bCs/>
          <w:color w:val="2563A8"/>
          <w:sz w:val="28"/>
          <w:szCs w:val="28"/>
        </w:rPr>
        <w:t xml:space="preserve">Opdracht 16.6 — Dekkingsgraadgrenzen</w:t>
      </w:r>
    </w:p>
    <w:p>
      <w:pPr>
        <w:spacing w:after="140" w:line="300"/>
      </w:pPr>
      <w:r>
        <w:rPr>
          <w:rFonts w:ascii="Calibri" w:cs="Calibri" w:eastAsia="Calibri" w:hAnsi="Calibri"/>
          <w:b w:val="false"/>
          <w:bCs w:val="false"/>
          <w:i w:val="false"/>
          <w:iCs w:val="false"/>
          <w:sz w:val="22"/>
          <w:szCs w:val="22"/>
        </w:rPr>
        <w:t xml:space="preserve">Een fonds heeft op het beoogde invaarmoment een dekkingsgraad van 87%.</w:t>
      </w:r>
    </w:p>
    <w:p>
      <w:pPr>
        <w:spacing w:after="140" w:line="300"/>
      </w:pPr>
      <w:r>
        <w:rPr>
          <w:rFonts w:ascii="Calibri" w:cs="Calibri" w:eastAsia="Calibri" w:hAnsi="Calibri"/>
          <w:b w:val="false"/>
          <w:bCs w:val="false"/>
          <w:i w:val="false"/>
          <w:iCs w:val="false"/>
          <w:sz w:val="22"/>
          <w:szCs w:val="22"/>
        </w:rPr>
        <w:t xml:space="preserve">a. Mag dit fonds op dit moment invaren?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moet er gebeuren voordat het wel kan?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Is een dekkingsgraad van 96% voor het hele fonds voldoende garantie dat elke individuele deelnemer correct wordt behandeld?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Nee — dit ligt onder de 90%-grens.</w:t>
      </w:r>
    </w:p>
    <w:p>
      <w:pPr>
        <w:spacing w:after="140" w:line="300"/>
      </w:pPr>
      <w:r>
        <w:rPr>
          <w:rFonts w:ascii="Calibri" w:cs="Calibri" w:eastAsia="Calibri" w:hAnsi="Calibri"/>
          <w:b w:val="false"/>
          <w:bCs w:val="false"/>
          <w:i w:val="false"/>
          <w:iCs w:val="false"/>
          <w:sz w:val="22"/>
          <w:szCs w:val="22"/>
        </w:rPr>
        <w:t xml:space="preserve">b. Het fonds moet tijdig maatregelen nemen zodat de dekkingsgraad bij het daadwerkelijke invaarmoment ten minste 90% bedraagt.</w:t>
      </w:r>
    </w:p>
    <w:p>
      <w:pPr>
        <w:spacing w:after="140" w:line="300"/>
      </w:pPr>
      <w:r>
        <w:rPr>
          <w:rFonts w:ascii="Calibri" w:cs="Calibri" w:eastAsia="Calibri" w:hAnsi="Calibri"/>
          <w:b w:val="false"/>
          <w:bCs w:val="false"/>
          <w:i w:val="false"/>
          <w:iCs w:val="false"/>
          <w:sz w:val="22"/>
          <w:szCs w:val="22"/>
        </w:rPr>
        <w:t xml:space="preserve">c. Niet automatisch. De 90%-grens is een grens op fondsniveau; de 95%-rekenregelgrens werkt door op individueel niveau. Een fonds kan gemiddeld gezond zijn en toch een individuele deelnemer hebben van wie de omgerekende waarde onder de individuele ondergrens dreigt te komen — dat moet apart worden gecontroleerd en zo nodig gecorrigeerd.</w:t>
      </w:r>
    </w:p>
    <w:p>
      <w:pPr>
        <w:spacing w:after="100"/>
      </w:pPr>
    </w:p>
    <w:p>
      <w:pPr>
        <w:pStyle w:val="Heading2"/>
        <w:spacing w:after="120" w:before="200"/>
      </w:pPr>
      <w:r>
        <w:rPr>
          <w:rFonts w:ascii="Georgia" w:cs="Georgia" w:eastAsia="Georgia" w:hAnsi="Georgia"/>
          <w:b/>
          <w:bCs/>
          <w:color w:val="2563A8"/>
          <w:sz w:val="28"/>
          <w:szCs w:val="28"/>
        </w:rPr>
        <w:t xml:space="preserve">Opdracht 16.7 — De drie casussen naast elkaar</w:t>
      </w:r>
    </w:p>
    <w:p>
      <w:pPr>
        <w:spacing w:after="140" w:line="300"/>
      </w:pPr>
      <w:r>
        <w:rPr>
          <w:rFonts w:ascii="Calibri" w:cs="Calibri" w:eastAsia="Calibri" w:hAnsi="Calibri"/>
          <w:b w:val="false"/>
          <w:bCs w:val="false"/>
          <w:i w:val="false"/>
          <w:iCs w:val="false"/>
          <w:sz w:val="22"/>
          <w:szCs w:val="22"/>
        </w:rPr>
        <w:t xml:space="preserve">Vul de tabel in voor Bpf T&amp;I, Delta Chemie en Van Doorn Techniek: welke route voor bestaande aanspraken is aan de orde, wie besluit, en is er individueel bezwaarrecht?</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Route</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Wie besluit</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Bezwaarrecht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Bpf T&amp;I</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Invaren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Fondsbestuur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Nee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Delta Chemie (bij liquidatie)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Collectieve waardeoverdracht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Fondsbestuur(en)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Ja</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Van Doorn (bij contractwissel)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Achterblijven, tenzij individuele waardeoverdracht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Werkgever/deelnemer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N.v.t. (eigen keuze bij individuele aanvraag)</w:t>
            </w:r>
          </w:p>
        </w:tc>
      </w:tr>
    </w:tbl>
    <w:p>
      <w:pPr>
        <w:spacing w:after="140" w:line="300"/>
      </w:pPr>
      <w:r>
        <w:rPr>
          <w:rFonts w:ascii="Calibri" w:cs="Calibri" w:eastAsia="Calibri" w:hAnsi="Calibri"/>
          <w:b w:val="false"/>
          <w:bCs w:val="false"/>
          <w:i w:val="false"/>
          <w:iCs w:val="false"/>
          <w:sz w:val="22"/>
          <w:szCs w:val="22"/>
        </w:rPr>
        <w:t xml:space="preserve">Merk op dat drie schijnbaar vergelijkbare “mijn pensioen gaat over”-situaties drie volledig verschillende rechtsposities voor de deelnemer opleveren. Dit is precies het inzicht dat een adviseur moet kunnen uitleggen aan een deelnemer die denkt dat het allemaal “hetzelfde soort overstap” is.</w:t>
      </w:r>
    </w:p>
    <w:p>
      <w:pPr>
        <w:spacing w:after="100"/>
      </w:pPr>
    </w:p>
    <w:p>
      <w:pPr>
        <w:pStyle w:val="Heading2"/>
        <w:spacing w:after="120" w:before="200"/>
      </w:pPr>
      <w:r>
        <w:rPr>
          <w:rFonts w:ascii="Georgia" w:cs="Georgia" w:eastAsia="Georgia" w:hAnsi="Georgia"/>
          <w:b/>
          <w:bCs/>
          <w:color w:val="2563A8"/>
          <w:sz w:val="28"/>
          <w:szCs w:val="28"/>
        </w:rPr>
        <w:t xml:space="preserve">Opdracht 16.8 — CWO tijdens de transitieperiode</w:t>
      </w:r>
    </w:p>
    <w:p>
      <w:pPr>
        <w:spacing w:after="140" w:line="300"/>
      </w:pPr>
      <w:r>
        <w:rPr>
          <w:rFonts w:ascii="Calibri" w:cs="Calibri" w:eastAsia="Calibri" w:hAnsi="Calibri"/>
          <w:b w:val="false"/>
          <w:bCs w:val="false"/>
          <w:i w:val="false"/>
          <w:iCs w:val="false"/>
          <w:sz w:val="22"/>
          <w:szCs w:val="22"/>
        </w:rPr>
        <w:t xml:space="preserve">Delta Chemie besluit, terwijl de Wtp-transitie van het fonds zelf nog niet is afgerond, om alvast het deelnemersbestand over te dragen aan een APF. Welke extra onderbouwing is hier volgens paragraaf 16.4 vereist, vergeleken met een gewone collectieve waardeoverdracht buiten de transitieperiode?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Er moet expliciet rekening worden gehouden met de onzekerheid over de toekomstige contractinvulling: welke beleggingsmix zal gaan gelden, welk projectierendement (deel 13) wordt uiteindelijk gehanteerd, en welke omrekenmethode het ontvangende fonds of de kring bij een eventueel later invaarmoment zal kiezen. Kortom, de onderbouwing moet erkennen dat een deel van de toekomst op het moment van de CWO nog niet vaststaat, en moet aannemelijk maken dat de overdracht ook onder die onzekerheid evenwichtig is.</w:t>
            </w:r>
          </w:p>
        </w:tc>
      </w:tr>
    </w:tbl>
    <w:p>
      <w:pPr>
        <w:spacing w:after="100"/>
      </w:pPr>
    </w:p>
    <w:p>
      <w:pPr>
        <w:pStyle w:val="Heading2"/>
        <w:spacing w:after="120" w:before="200"/>
      </w:pPr>
      <w:r>
        <w:rPr>
          <w:rFonts w:ascii="Georgia" w:cs="Georgia" w:eastAsia="Georgia" w:hAnsi="Georgia"/>
          <w:b/>
          <w:bCs/>
          <w:color w:val="2563A8"/>
          <w:sz w:val="28"/>
          <w:szCs w:val="28"/>
        </w:rPr>
        <w:t xml:space="preserve">Opdracht 16.9 — Terugkoppeling naar de hele cursus</w:t>
      </w:r>
    </w:p>
    <w:p>
      <w:pPr>
        <w:spacing w:after="140" w:line="300"/>
      </w:pPr>
      <w:r>
        <w:rPr>
          <w:rFonts w:ascii="Calibri" w:cs="Calibri" w:eastAsia="Calibri" w:hAnsi="Calibri"/>
          <w:b w:val="false"/>
          <w:bCs w:val="false"/>
          <w:i w:val="false"/>
          <w:iCs w:val="false"/>
          <w:sz w:val="22"/>
          <w:szCs w:val="22"/>
        </w:rPr>
        <w:t xml:space="preserve">Beschrijf in maximaal acht zinnen waarom het onderscheid tussen invaren en collectieve waardeoverdracht een directe voortzetting is van het allereerste onderscheid dat in deel 1 werd geïntroduceerd (fonds versus verzekerde regeling, drieluik: wie belooft, wie voert uit, wie draagt het risico).</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(richtlijn). Een sterk antwoord legt uit dat het drieluik uit deel 1 al aangaf dat het antwoord op “wie draagt het risico” bij een fonds anders ligt dan bij een verzekeraar; dat verschil werkt door tot in de fijnste details van dit deel — invaren is mogelijk omdat een fonds collectief risico draagt en dus collectief kan worden omgezet, terwijl een verzekerde regeling met individuele contracten werkt waarbij het kapitaal per definitie aan de individuele deelnemer blijft hangen tenzij hij zelf iets anders regelt. Het ontbreken van individueel bezwaarrecht bij invaren en het wél bestaan daarvan bij CWO is de juridische vertaling van precies dat verschil in risicodragerschap. Beoordeel op de mate waarin de opdracht deze koppeling expliciet maakt in plaats van de twee onderwerpen los naast elkaar te beschrijven.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2 — Uitvoering en advies · Deel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2026-08-17T11:22:45.254Z</dcterms:created>
  <dcterms:modified xsi:type="dcterms:W3CDTF">2026-08-17T11:22:45.254Z</dcterms:modified>
</cp:coreProperties>
</file>

<file path=docProps/custom.xml><?xml version="1.0" encoding="utf-8"?>
<Properties xmlns="http://schemas.openxmlformats.org/officeDocument/2006/custom-properties" xmlns:vt="http://schemas.openxmlformats.org/officeDocument/2006/docPropsVTypes"/>
</file>