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17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17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Na zes delen inhoud (11 t/m 16) draait dit dagdeel om overdracht: hoe vertel je het? Twee dingen moeten landen:</w:t>
      </w:r>
    </w:p>
    <w:p>
      <w:pPr>
        <w:pStyle w:val="ListParagraph"/>
        <w:numPr>
          <w:ilvl w:val="0"/>
          <w:numId w:val="1"/>
        </w:numPr>
        <w:spacing w:after="80"/>
      </w:pPr>
      <w:r>
        <w:rPr>
          <w:rFonts w:ascii="Calibri" w:cs="Calibri" w:eastAsia="Calibri" w:hAnsi="Calibri"/>
          <w:sz w:val="22"/>
          <w:szCs w:val="22"/>
        </w:rPr>
        <w:t xml:space="preserve">1. Communicatie is wettelijk genormeerd, niet vrijblijvend. Het communicatieplan, de transitieoverzichten en de keuzebegeleidingsnorm zijn toetsbare verplichtingen met eigen toezicht.</w:t>
      </w:r>
    </w:p>
    <w:p>
      <w:pPr>
        <w:pStyle w:val="ListParagraph"/>
        <w:numPr>
          <w:ilvl w:val="0"/>
          <w:numId w:val="1"/>
        </w:numPr>
        <w:spacing w:after="80"/>
      </w:pPr>
      <w:r>
        <w:rPr>
          <w:rFonts w:ascii="Calibri" w:cs="Calibri" w:eastAsia="Calibri" w:hAnsi="Calibri"/>
          <w:sz w:val="22"/>
          <w:szCs w:val="22"/>
        </w:rPr>
        <w:t xml:space="preserve">2. De grens tussen keuzebegeleiding en advies is glad, en dat is precies waarom hij gevaarlijk is. Dit is het subtielste punt van het dagdeel en verdient de meeste tijd.</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alles wat nu moet worden uitgelegd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communicatieplan, opdracht 17.1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Doelgroepen, opdracht 17.2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Transitieoverzichten, opdracht 17.3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norm keuzebegeleiding, opdracht 17.4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Keuzebegeleiding of advies, opdracht 17.5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Gelaagde communicatie en datakwaliteit, opdracht 17.6 en 17.7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en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en huiswerk 17.8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Laat de groep in twee minuten opsommen wat er allemaal aan een deelnemer van Van Doorn moet worden uitgelegd — premie (deel 11), lifecycle (deel 12), uitkeringsvorm (deel 13), lot van bestaande aanspraken (deel 16), nabestaandenpensioen (deel 8). De lijst wordt lang. Dat is precies het punt: dit dagdeel gaat niet over nieuwe inhoud maar over hoe je die stapel behapbaar maakt voor iemand die het maar één keer hoeft te snappen.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communicatieplan.</w:t>
      </w:r>
      <w:r>
        <w:rPr>
          <w:rFonts w:ascii="Calibri" w:cs="Calibri" w:eastAsia="Calibri" w:hAnsi="Calibri"/>
          <w:b w:val="false"/>
          <w:bCs w:val="false"/>
          <w:i w:val="false"/>
          <w:iCs w:val="false"/>
          <w:sz w:val="22"/>
          <w:szCs w:val="22"/>
        </w:rPr>
        <w:t xml:space="preserve"> Plaats het naast de twee al bekende documenten (transitieplan, implementatieplan) zodat deelnemers het three-document-kader compleet zien. Bij opdracht 17.1: snel, het is herkenning, geen nieuwe stof.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Doelgroepen.</w:t>
      </w:r>
      <w:r>
        <w:rPr>
          <w:rFonts w:ascii="Calibri" w:cs="Calibri" w:eastAsia="Calibri" w:hAnsi="Calibri"/>
          <w:b w:val="false"/>
          <w:bCs w:val="false"/>
          <w:i w:val="false"/>
          <w:iCs w:val="false"/>
          <w:sz w:val="22"/>
          <w:szCs w:val="22"/>
        </w:rPr>
        <w:t xml:space="preserve"> Bij opdracht 17.2: dit is de eerste toepassing en verdient aandacht. Laat vooral groep 1 en 2 goed uit elkaar houden — deelnemers hebben de neiging om “de premie verandert” als universele boodschap te schrijven, terwijl groep 1 (eerbiedigende werking) juist een heel andere boodschap nodig heeft. Herhaal de koppeling met deel 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Transitieoverzichten.</w:t>
      </w:r>
      <w:r>
        <w:rPr>
          <w:rFonts w:ascii="Calibri" w:cs="Calibri" w:eastAsia="Calibri" w:hAnsi="Calibri"/>
          <w:b w:val="false"/>
          <w:bCs w:val="false"/>
          <w:i w:val="false"/>
          <w:iCs w:val="false"/>
          <w:sz w:val="22"/>
          <w:szCs w:val="22"/>
        </w:rPr>
        <w:t xml:space="preserve"> Bij opdracht 17.3c: dit is een mooi moment om deel 13 (projectierendement) terug te halen en te laten zien hoe die kennis nu een communicatieverplichting onderbouwt. De boodschap: kennis van het product verklaart waarom een communicatieverplichting bestaat, niet andersom.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norm keuzebegeleiding.</w:t>
      </w:r>
      <w:r>
        <w:rPr>
          <w:rFonts w:ascii="Calibri" w:cs="Calibri" w:eastAsia="Calibri" w:hAnsi="Calibri"/>
          <w:b w:val="false"/>
          <w:bCs w:val="false"/>
          <w:i w:val="false"/>
          <w:iCs w:val="false"/>
          <w:sz w:val="22"/>
          <w:szCs w:val="22"/>
        </w:rPr>
        <w:t xml:space="preserve"> Loop de bestanddelen van artikel 48a rustig langs: adequate begeleiding, activeren, wijzen op risico’s mét handelingsperspectief, de keuzeomgeving zelf, nudging, digitale vaardigheden. Bij opdracht 17.4: laat de groep zelf beargumenteren waarom een enkele e-mail tekortschiet vóórdat je het bevestigt — de bestanddelen die zij zelf missen in het voorbeeld, onthouden beter dan een opgesomde checklist.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Keuzebegeleiding versus advies — kern van het dagdeel.</w:t>
      </w:r>
      <w:r>
        <w:rPr>
          <w:rFonts w:ascii="Calibri" w:cs="Calibri" w:eastAsia="Calibri" w:hAnsi="Calibri"/>
          <w:b w:val="false"/>
          <w:bCs w:val="false"/>
          <w:i w:val="false"/>
          <w:iCs w:val="false"/>
          <w:sz w:val="22"/>
          <w:szCs w:val="22"/>
        </w:rPr>
        <w:t xml:space="preserve"> Neem hier minstens dertig minuten. Presenteer de drie situaties uit opdracht 17.5 zonder vooraf te zeggen welke goed of fout is. Laat de drietallen echt worstelen met b — veel deelnemers vinden b op het eerste gezicht behulpzaam en klantvriendelijk, en moeten zelf ontdekken waarom het juist problematisch is.</w:t>
      </w:r>
    </w:p>
    <w:p>
      <w:pPr>
        <w:spacing w:after="140" w:line="300"/>
      </w:pPr>
      <w:r>
        <w:rPr>
          <w:rFonts w:ascii="Calibri" w:cs="Calibri" w:eastAsia="Calibri" w:hAnsi="Calibri"/>
          <w:b w:val="false"/>
          <w:bCs w:val="false"/>
          <w:i w:val="false"/>
          <w:iCs w:val="false"/>
          <w:sz w:val="22"/>
          <w:szCs w:val="22"/>
        </w:rPr>
        <w:t xml:space="preserve">De kernzin, groot op de flap: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Hoe specifieker de hulp, hoe groter de zorgplicht die daarbij hoort.</w:t>
            </w:r>
          </w:p>
        </w:tc>
      </w:tr>
    </w:tbl>
    <w:p>
      <w:pPr>
        <w:spacing w:after="140" w:line="300"/>
      </w:pPr>
      <w:r>
        <w:rPr>
          <w:rFonts w:ascii="Calibri" w:cs="Calibri" w:eastAsia="Calibri" w:hAnsi="Calibri"/>
          <w:b w:val="false"/>
          <w:bCs w:val="false"/>
          <w:i w:val="false"/>
          <w:iCs w:val="false"/>
          <w:sz w:val="22"/>
          <w:szCs w:val="22"/>
        </w:rPr>
        <w:t xml:space="preserve">Maak vervolgens de koppeling naar de eigen rol van de adviseur explicite: een adviseur die voor een werkgever werkt en met individuele deelnemers spreekt, moet zelf weten onder welke vergunning hij opereert — dat is de directe opmaat naar deel 18.</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Gelaagde communicatie en datakwaliteit.</w:t>
      </w:r>
      <w:r>
        <w:rPr>
          <w:rFonts w:ascii="Calibri" w:cs="Calibri" w:eastAsia="Calibri" w:hAnsi="Calibri"/>
          <w:b w:val="false"/>
          <w:bCs w:val="false"/>
          <w:i w:val="false"/>
          <w:iCs w:val="false"/>
          <w:sz w:val="22"/>
          <w:szCs w:val="22"/>
        </w:rPr>
        <w:t xml:space="preserve"> Bij opdracht 17.6: laat het kort en concreet blijven, twee lagen, geen hele architectuur. Bij opdracht 17.7: dit is een bewuste herhaling van het datakwaliteitsthema uit deel 9 en 14, nu vanuit het communicatieperspectief. Benoem expliciet dat dit onderwerp in deel 19 nog een keer, dieper, terugkomt vanuit het operationele perspectief.</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“Moet elke deelnemer evenveel communicatie krijgen?”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 differentiatie naar doelgroep is uitdrukkelijk toegestaan en zelfs aan te raden, zolang de keuzebegeleidingsnorm voor iedereen wordt gehaald. Gelijke behandeling betekent hier niet identieke communicatie, maar voor iedereen passende communicatie.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houdt er precies toezicht op keuzebegeleiding?”</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AFM, zowel bij pensioenfondsen als bij verzekeraars en PPI’s, met een eigen leidraad die richting geeft aan de invulling van de open norm.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werkgever zelf keuzebegeleiding geven in plaats van de uitvoerder?”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wettelijke keuzebegeleidingsplicht ligt bij de pensioenuitvoerder. Een werkgever kan aanvullend informeren, maar moet zich ervan bewust zijn dat hij daarmee niet de wettelijke norm van de uitvoerder overneemt, en moet zelf beducht zijn op het overschrijden van de grens naar advies zonder de daarvoor vereiste vergunning (deel 18).</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prognose-overzicht juridisch bindend?”</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het is een verwachting op basis van de op dat moment bekende gegevens; het definitieve overzicht is bepalend. Maar het verschil tussen beide moet, zoals behandeld, wel worden toegelicht — de vrijblijvendheid zit in de uitkomst, niet in de communicatieplicht erover.</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kernzin over specifieke hulp en zorgplicht groot op de flap</w:t>
      </w:r>
    </w:p>
    <w:p>
      <w:pPr>
        <w:pStyle w:val="ListParagraph"/>
        <w:numPr>
          <w:ilvl w:val="0"/>
          <w:numId w:val="1"/>
        </w:numPr>
        <w:spacing w:after="80"/>
      </w:pPr>
      <w:r>
        <w:rPr>
          <w:rFonts w:ascii="Calibri" w:cs="Calibri" w:eastAsia="Calibri" w:hAnsi="Calibri"/>
          <w:sz w:val="22"/>
          <w:szCs w:val="22"/>
        </w:rPr>
        <w:t xml:space="preserve">Drie rolkaartjes voor opdracht 17.5, met de exacte bewoording van elke situatie</w:t>
      </w:r>
    </w:p>
    <w:p>
      <w:pPr>
        <w:pStyle w:val="ListParagraph"/>
        <w:numPr>
          <w:ilvl w:val="0"/>
          <w:numId w:val="1"/>
        </w:numPr>
        <w:spacing w:after="80"/>
      </w:pPr>
      <w:r>
        <w:rPr>
          <w:rFonts w:ascii="Calibri" w:cs="Calibri" w:eastAsia="Calibri" w:hAnsi="Calibri"/>
          <w:sz w:val="22"/>
          <w:szCs w:val="22"/>
        </w:rPr>
        <w:t xml:space="preserve">Een fictief maar realistisch voorbeeld van een prognose- en een definitief transitieoverzicht om te laten zien</w:t>
      </w:r>
    </w:p>
    <w:p>
      <w:pPr>
        <w:pStyle w:val="ListParagraph"/>
        <w:numPr>
          <w:ilvl w:val="0"/>
          <w:numId w:val="1"/>
        </w:numPr>
        <w:spacing w:after="80"/>
      </w:pPr>
      <w:r>
        <w:rPr>
          <w:rFonts w:ascii="Calibri" w:cs="Calibri" w:eastAsia="Calibri" w:hAnsi="Calibri"/>
          <w:sz w:val="22"/>
          <w:szCs w:val="22"/>
        </w:rPr>
        <w:t xml:space="preserve">Actuele AFM-aandachtspunten voor het lopende toezichtjaar, kort gecontroleerd vóór de sessie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17.8, het complete communicatiebeleid voor Van Doorn. Kondig deel 18 aan: de grens tussen keuzebegeleiding en advies die vandaag zichtbaar werd, wordt daar volledig uitgewerkt tot een juridisch kader — zorgplicht, klantprofiel en de vergunningen die bepalen wie wat mag.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2026-08-17T11:22:45.376Z</dcterms:created>
  <dcterms:modified xsi:type="dcterms:W3CDTF">2026-08-17T11:22:45.376Z</dcterms:modified>
</cp:coreProperties>
</file>

<file path=docProps/custom.xml><?xml version="1.0" encoding="utf-8"?>
<Properties xmlns="http://schemas.openxmlformats.org/officeDocument/2006/custom-properties" xmlns:vt="http://schemas.openxmlformats.org/officeDocument/2006/docPropsVTypes"/>
</file>