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17 — Communicatie, transitieoverzichten en keuzebegeleiding</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17 — Communicatie, transitieoverzichten en keuzebegeleiding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17.1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het communicatieplan als wettelijk vereist document plaatsen naast het transitieplan en implementatieplan;</w:t>
      </w:r>
    </w:p>
    <w:p>
      <w:pPr>
        <w:pStyle w:val="ListParagraph"/>
        <w:numPr>
          <w:ilvl w:val="0"/>
          <w:numId w:val="1"/>
        </w:numPr>
        <w:spacing w:after="80"/>
      </w:pPr>
      <w:r>
        <w:rPr>
          <w:rFonts w:ascii="Calibri" w:cs="Calibri" w:eastAsia="Calibri" w:hAnsi="Calibri"/>
          <w:sz w:val="22"/>
          <w:szCs w:val="22"/>
        </w:rPr>
        <w:t xml:space="preserve">2. het verschil tussen prognose- en definitieve transitieoverzichten beschrijven;</w:t>
      </w:r>
    </w:p>
    <w:p>
      <w:pPr>
        <w:pStyle w:val="ListParagraph"/>
        <w:numPr>
          <w:ilvl w:val="0"/>
          <w:numId w:val="1"/>
        </w:numPr>
        <w:spacing w:after="80"/>
      </w:pPr>
      <w:r>
        <w:rPr>
          <w:rFonts w:ascii="Calibri" w:cs="Calibri" w:eastAsia="Calibri" w:hAnsi="Calibri"/>
          <w:sz w:val="22"/>
          <w:szCs w:val="22"/>
        </w:rPr>
        <w:t xml:space="preserve">3. de wettelijke norm keuzebegeleiding (artikel 48a Pensioenwet) toelichten, inclusief het onderscheid met advies;</w:t>
      </w:r>
    </w:p>
    <w:p>
      <w:pPr>
        <w:pStyle w:val="ListParagraph"/>
        <w:numPr>
          <w:ilvl w:val="0"/>
          <w:numId w:val="1"/>
        </w:numPr>
        <w:spacing w:after="80"/>
      </w:pPr>
      <w:r>
        <w:rPr>
          <w:rFonts w:ascii="Calibri" w:cs="Calibri" w:eastAsia="Calibri" w:hAnsi="Calibri"/>
          <w:sz w:val="22"/>
          <w:szCs w:val="22"/>
        </w:rPr>
        <w:t xml:space="preserve">4. gelaagde communicatie toepassen op een concrete deelnemersgroep;</w:t>
      </w:r>
    </w:p>
    <w:p>
      <w:pPr>
        <w:pStyle w:val="ListParagraph"/>
        <w:numPr>
          <w:ilvl w:val="0"/>
          <w:numId w:val="1"/>
        </w:numPr>
        <w:spacing w:after="80"/>
      </w:pPr>
      <w:r>
        <w:rPr>
          <w:rFonts w:ascii="Calibri" w:cs="Calibri" w:eastAsia="Calibri" w:hAnsi="Calibri"/>
          <w:sz w:val="22"/>
          <w:szCs w:val="22"/>
        </w:rPr>
        <w:t xml:space="preserve">5. de rol van datakwaliteit in correcte communicatie plaatsen;</w:t>
      </w:r>
    </w:p>
    <w:p>
      <w:pPr>
        <w:pStyle w:val="ListParagraph"/>
        <w:numPr>
          <w:ilvl w:val="0"/>
          <w:numId w:val="1"/>
        </w:numPr>
        <w:spacing w:after="80"/>
      </w:pPr>
      <w:r>
        <w:rPr>
          <w:rFonts w:ascii="Calibri" w:cs="Calibri" w:eastAsia="Calibri" w:hAnsi="Calibri"/>
          <w:sz w:val="22"/>
          <w:szCs w:val="22"/>
        </w:rPr>
        <w:t xml:space="preserve">6. een communicatieaanpak voor Van Doorn Techniek opstellen die voldoet aan de norm en recht doet aan de casussen uit eerdere delen (Karel, Yasmin, de gesloten groep).</w:t>
      </w:r>
    </w:p>
    <w:p>
      <w:pPr>
        <w:spacing w:after="100"/>
      </w:pPr>
    </w:p>
    <w:p>
      <w:pPr>
        <w:pStyle w:val="Heading2"/>
        <w:spacing w:after="120" w:before="200"/>
      </w:pPr>
      <w:r>
        <w:rPr>
          <w:rFonts w:ascii="Georgia" w:cs="Georgia" w:eastAsia="Georgia" w:hAnsi="Georgia"/>
          <w:b/>
          <w:bCs/>
          <w:color w:val="2563A8"/>
          <w:sz w:val="28"/>
          <w:szCs w:val="28"/>
        </w:rPr>
        <w:t xml:space="preserve">17.2 Waarom dit deel na de inhoud komt</w:t>
      </w:r>
    </w:p>
    <w:p>
      <w:pPr>
        <w:spacing w:after="140" w:line="300"/>
      </w:pPr>
      <w:r>
        <w:rPr>
          <w:rFonts w:ascii="Calibri" w:cs="Calibri" w:eastAsia="Calibri" w:hAnsi="Calibri"/>
          <w:b w:val="false"/>
          <w:bCs w:val="false"/>
          <w:i w:val="false"/>
          <w:iCs w:val="false"/>
          <w:sz w:val="22"/>
          <w:szCs w:val="22"/>
        </w:rPr>
        <w:t xml:space="preserve">Elk voorgaand deel van niveau 1 en 2 leverde inhoud die op enig moment aan een deelnemer moet worden uitgelegd: de premieverandering (deel 11), de risicodekking (deel 8), de lifecycle (deel 12), de uitkeringskeuze (deel 13), het lot van bestaande aanspraken (deel 16). Dit deel behandelt niet wát er wordt gecommuniceerd — dat weet je al — maar </w:t>
      </w:r>
      <w:r>
        <w:rPr>
          <w:rFonts w:ascii="Calibri" w:cs="Calibri" w:eastAsia="Calibri" w:hAnsi="Calibri"/>
          <w:b/>
          <w:bCs/>
          <w:i w:val="false"/>
          <w:iCs w:val="false"/>
          <w:sz w:val="22"/>
          <w:szCs w:val="22"/>
        </w:rPr>
        <w:t xml:space="preserve">hoe</w:t>
      </w:r>
      <w:r>
        <w:rPr>
          <w:rFonts w:ascii="Calibri" w:cs="Calibri" w:eastAsia="Calibri" w:hAnsi="Calibri"/>
          <w:b w:val="false"/>
          <w:bCs w:val="false"/>
          <w:i w:val="false"/>
          <w:iCs w:val="false"/>
          <w:sz w:val="22"/>
          <w:szCs w:val="22"/>
        </w:rPr>
        <w:t xml:space="preserve">, en onder welke wettelijke norm.</w:t>
      </w:r>
    </w:p>
    <w:p>
      <w:pPr>
        <w:spacing w:after="140" w:line="300"/>
      </w:pPr>
      <w:r>
        <w:rPr>
          <w:rFonts w:ascii="Calibri" w:cs="Calibri" w:eastAsia="Calibri" w:hAnsi="Calibri"/>
          <w:b w:val="false"/>
          <w:bCs w:val="false"/>
          <w:i w:val="false"/>
          <w:iCs w:val="false"/>
          <w:sz w:val="22"/>
          <w:szCs w:val="22"/>
        </w:rPr>
        <w:t xml:space="preserve">De reden dat dit een eigen deel verdient, is dat pensioencommunicatie sinds de Wtp niet langer vrijblijvend is. Er gelden toetsbare normen, met eigen toezicht door de AFM, en de kwaliteit van de communicatie is inmiddels net zo’n vast aandachtspunt in het toezicht als de financiële soliditeit van een fonds.</w:t>
      </w:r>
    </w:p>
    <w:p>
      <w:pPr>
        <w:spacing w:after="100"/>
      </w:pPr>
    </w:p>
    <w:p>
      <w:pPr>
        <w:pStyle w:val="Heading2"/>
        <w:spacing w:after="120" w:before="200"/>
      </w:pPr>
      <w:r>
        <w:rPr>
          <w:rFonts w:ascii="Georgia" w:cs="Georgia" w:eastAsia="Georgia" w:hAnsi="Georgia"/>
          <w:b/>
          <w:bCs/>
          <w:color w:val="2563A8"/>
          <w:sz w:val="28"/>
          <w:szCs w:val="28"/>
        </w:rPr>
        <w:t xml:space="preserve">17.3 Het communicatieplan</w:t>
      </w:r>
    </w:p>
    <w:p>
      <w:pPr>
        <w:spacing w:after="140" w:line="300"/>
      </w:pPr>
      <w:r>
        <w:rPr>
          <w:rFonts w:ascii="Calibri" w:cs="Calibri" w:eastAsia="Calibri" w:hAnsi="Calibri"/>
          <w:b w:val="false"/>
          <w:bCs w:val="false"/>
          <w:i w:val="false"/>
          <w:iCs w:val="false"/>
          <w:sz w:val="22"/>
          <w:szCs w:val="22"/>
        </w:rPr>
        <w:t xml:space="preserve">Naast het transitieplan (deel 7) en het implementatieplan (deel 15) is het </w:t>
      </w:r>
      <w:r>
        <w:rPr>
          <w:rFonts w:ascii="Calibri" w:cs="Calibri" w:eastAsia="Calibri" w:hAnsi="Calibri"/>
          <w:b/>
          <w:bCs/>
          <w:i w:val="false"/>
          <w:iCs w:val="false"/>
          <w:sz w:val="22"/>
          <w:szCs w:val="22"/>
        </w:rPr>
        <w:t xml:space="preserve">communicatieplan</w:t>
      </w:r>
      <w:r>
        <w:rPr>
          <w:rFonts w:ascii="Calibri" w:cs="Calibri" w:eastAsia="Calibri" w:hAnsi="Calibri"/>
          <w:b w:val="false"/>
          <w:bCs w:val="false"/>
          <w:i w:val="false"/>
          <w:iCs w:val="false"/>
          <w:sz w:val="22"/>
          <w:szCs w:val="22"/>
        </w:rPr>
        <w:t xml:space="preserve"> het derde verplichte document bij de transitie. Het beschrijft hoe de uitvoerder de deelnemers gaat informeren over de overgang: welke doelgroepen worden onderscheiden, via welke kanalen, op welke momenten, en met welke boodschap per doelgroep.</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Doelgroepen.</w:t>
      </w:r>
      <w:r>
        <w:rPr>
          <w:rFonts w:ascii="Calibri" w:cs="Calibri" w:eastAsia="Calibri" w:hAnsi="Calibri"/>
          <w:b w:val="false"/>
          <w:bCs w:val="false"/>
          <w:i w:val="false"/>
          <w:iCs w:val="false"/>
          <w:sz w:val="22"/>
          <w:szCs w:val="22"/>
        </w:rPr>
        <w:t xml:space="preserve"> Het communicatieplan hoeft niet voor iedereen identiek te zijn. &lt;cite index=“104-1”&gt;Bij de bepaling van doelgroepen mag rekening worden gehouden met groepen deelnemers die bepaalde belangrijke keuzes maken&lt;/cite&gt; — bijvoorbeeld deelnemers die kort vóór hun pensioendatum staan, of — in de context van deze cursus — deelnemers die in een gesloten groep onder de eerbiedigende werking vallen (deel 6) en dus een andere boodschap nodig hebben dan nieuwe instromers.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relatie met keuzebegeleiding.</w:t>
      </w:r>
      <w:r>
        <w:rPr>
          <w:rFonts w:ascii="Calibri" w:cs="Calibri" w:eastAsia="Calibri" w:hAnsi="Calibri"/>
          <w:b w:val="false"/>
          <w:bCs w:val="false"/>
          <w:i w:val="false"/>
          <w:iCs w:val="false"/>
          <w:sz w:val="22"/>
          <w:szCs w:val="22"/>
        </w:rPr>
        <w:t xml:space="preserve"> &lt;cite index=“104-1”&gt;Het communicatieplan hoeft niet zelf de volledige uitvoering van de keuzebegeleiding te bevatten, maar kan verwijzen naar een apart beleidsplan voor keuzebegeleiding.&lt;/cite&gt; De twee documenten horen inhoudelijk op elkaar aan te sluiten, maar zijn niet identiek.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Correcte communicatie begint bij correcte data.</w:t>
      </w:r>
      <w:r>
        <w:rPr>
          <w:rFonts w:ascii="Calibri" w:cs="Calibri" w:eastAsia="Calibri" w:hAnsi="Calibri"/>
          <w:b w:val="false"/>
          <w:bCs w:val="false"/>
          <w:i w:val="false"/>
          <w:iCs w:val="false"/>
          <w:sz w:val="22"/>
          <w:szCs w:val="22"/>
        </w:rPr>
        <w:t xml:space="preserve"> &lt;cite index=“104-1”&gt;Onder correcte communicatie wordt verstaan dat de deelnemersinformatie juist is en gebaseerd op correcte data uit de pensioenadministratie; in het communicatieplan wordt een onderbouwing verwacht van hoe de datakwaliteit ook daadwerkelijk tot correcte communicatie leidt.&lt;/cite&gt; Dit is een directe koppeling met het datakwaliteitsthema dat in deel 19 volledig wordt behandeld — communicatie kan nooit beter zijn dan de data waarop zij is gebaseerd.</w:t>
      </w:r>
    </w:p>
    <w:p>
      <w:pPr>
        <w:spacing w:after="100"/>
      </w:pPr>
    </w:p>
    <w:p>
      <w:pPr>
        <w:pStyle w:val="Heading2"/>
        <w:spacing w:after="120" w:before="200"/>
      </w:pPr>
      <w:r>
        <w:rPr>
          <w:rFonts w:ascii="Georgia" w:cs="Georgia" w:eastAsia="Georgia" w:hAnsi="Georgia"/>
          <w:b/>
          <w:bCs/>
          <w:color w:val="2563A8"/>
          <w:sz w:val="28"/>
          <w:szCs w:val="28"/>
        </w:rPr>
        <w:t xml:space="preserve">17.4 Transitieoverzichten: prognose en definitief</w:t>
      </w:r>
    </w:p>
    <w:p>
      <w:pPr>
        <w:spacing w:after="140" w:line="300"/>
      </w:pPr>
      <w:r>
        <w:rPr>
          <w:rFonts w:ascii="Calibri" w:cs="Calibri" w:eastAsia="Calibri" w:hAnsi="Calibri"/>
          <w:b w:val="false"/>
          <w:bCs w:val="false"/>
          <w:i w:val="false"/>
          <w:iCs w:val="false"/>
          <w:sz w:val="22"/>
          <w:szCs w:val="22"/>
        </w:rPr>
        <w:t xml:space="preserve">Rond de transitie ontvangen deelnemers twee soorten overzicht.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prognose-transitieoverzicht</w:t>
      </w:r>
      <w:r>
        <w:rPr>
          <w:rFonts w:ascii="Calibri" w:cs="Calibri" w:eastAsia="Calibri" w:hAnsi="Calibri"/>
          <w:b w:val="false"/>
          <w:bCs w:val="false"/>
          <w:i w:val="false"/>
          <w:iCs w:val="false"/>
          <w:sz w:val="22"/>
          <w:szCs w:val="22"/>
        </w:rPr>
        <w:t xml:space="preserve"> — vóór de daadwerkelijke omzetting, met een indicatie van hoe de aanspraken en toekomstige opbouw er onder de nieuwe regeling uit gaan zien.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definitieve transitieoverzicht</w:t>
      </w:r>
      <w:r>
        <w:rPr>
          <w:rFonts w:ascii="Calibri" w:cs="Calibri" w:eastAsia="Calibri" w:hAnsi="Calibri"/>
          <w:b w:val="false"/>
          <w:bCs w:val="false"/>
          <w:i w:val="false"/>
          <w:iCs w:val="false"/>
          <w:sz w:val="22"/>
          <w:szCs w:val="22"/>
        </w:rPr>
        <w:t xml:space="preserve"> — ná de omzetting, met de daadwerkelijke, vastgestelde uitkomst.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Verplichte toelichting bij verschillen.</w:t>
      </w:r>
      <w:r>
        <w:rPr>
          <w:rFonts w:ascii="Calibri" w:cs="Calibri" w:eastAsia="Calibri" w:hAnsi="Calibri"/>
          <w:b w:val="false"/>
          <w:bCs w:val="false"/>
          <w:i w:val="false"/>
          <w:iCs w:val="false"/>
          <w:sz w:val="22"/>
          <w:szCs w:val="22"/>
        </w:rPr>
        <w:t xml:space="preserve"> Wijkt het definitieve overzicht af van de eerdere prognose, dan moet de uitvoerder dat verschil expliciet toelichten aan de deelnemer — dit is geen coulance maar een wettelijke verplichting. Een prognose is per definitie een verwachting op basis van de op dat moment bekende gegevens en aannames (denk aan het projectierendement uit deel 13, of de dekkingsgraad op een tussentijds moment); wanneer de werkelijkheid daarvan afwijkt, moet dat verschil worden verklaard, niet stilzwijgend gepresenteerd als nieuw feit.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Toezicht.</w:t>
      </w:r>
      <w:r>
        <w:rPr>
          <w:rFonts w:ascii="Calibri" w:cs="Calibri" w:eastAsia="Calibri" w:hAnsi="Calibri"/>
          <w:b w:val="false"/>
          <w:bCs w:val="false"/>
          <w:i w:val="false"/>
          <w:iCs w:val="false"/>
          <w:sz w:val="22"/>
          <w:szCs w:val="22"/>
        </w:rPr>
        <w:t xml:space="preserve"> &lt;cite index=“98-1”&gt;De AFM legt in haar toezicht extra nadruk op het definitieve transitieoverzicht, naast de prognose, de communicatie in bredere zin, keuzebegeleiding en het nabestaandenpensioen&lt;/cite&gt; — precies de onderwerpen die in de delen 8, 12 en 13 van deze cursus zijn behandeld, nu samengebracht onder één toezichtsparaplu.</w:t>
      </w:r>
    </w:p>
    <w:p>
      <w:pPr>
        <w:spacing w:after="100"/>
      </w:pPr>
    </w:p>
    <w:p>
      <w:pPr>
        <w:pStyle w:val="Heading2"/>
        <w:spacing w:after="120" w:before="200"/>
      </w:pPr>
      <w:r>
        <w:rPr>
          <w:rFonts w:ascii="Georgia" w:cs="Georgia" w:eastAsia="Georgia" w:hAnsi="Georgia"/>
          <w:b/>
          <w:bCs/>
          <w:color w:val="2563A8"/>
          <w:sz w:val="28"/>
          <w:szCs w:val="28"/>
        </w:rPr>
        <w:t xml:space="preserve">17.5 De norm keuzebegeleiding</w:t>
      </w:r>
    </w:p>
    <w:p>
      <w:pPr>
        <w:spacing w:after="140" w:line="300"/>
      </w:pPr>
      <w:r>
        <w:rPr>
          <w:rFonts w:ascii="Calibri" w:cs="Calibri" w:eastAsia="Calibri" w:hAnsi="Calibri"/>
          <w:b w:val="false"/>
          <w:bCs w:val="false"/>
          <w:i w:val="false"/>
          <w:iCs w:val="false"/>
          <w:sz w:val="22"/>
          <w:szCs w:val="22"/>
        </w:rPr>
        <w:t xml:space="preserve">Sinds de inwerkingtreding van de Wtp geldt een aparte, wettelijke norm voor keuzebegeleiding, vastgelegd in &lt;cite index=“99-1”&gt;artikel 48a van de Pensioenwet&lt;/cite&gt;.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de norm eist.</w:t>
      </w:r>
      <w:r>
        <w:rPr>
          <w:rFonts w:ascii="Calibri" w:cs="Calibri" w:eastAsia="Calibri" w:hAnsi="Calibri"/>
          <w:b w:val="false"/>
          <w:bCs w:val="false"/>
          <w:i w:val="false"/>
          <w:iCs w:val="false"/>
          <w:sz w:val="22"/>
          <w:szCs w:val="22"/>
        </w:rPr>
        <w:t xml:space="preserve"> &lt;cite index=“99-1”&gt;De pensioenuitvoerder moet de deelnemer op adequate wijze begeleiden — de norm bevordert weloverwogen keuzes in het belang van de deelnemer. Waar nodig moet de deelnemer worden geactiveerd en gewezen op risico’s en gevolgen van keuzes, inclusief een concreet handelingsperspectief. De deelnemer blijft zelf verantwoordelijk voor de uiteindelijke keuze.&lt;/cite&gt; Daarnaast moet &lt;cite index=“99-1”&gt;de keuzeomgeving zelf zodanig worden ingericht dat de deelnemer in staat wordt gesteld een passende keuze te maken&lt;/cite&gt;, met expliciete aandacht voor &lt;cite index=“99-1”&gt;de sturende invloed van die omgeving (nudging) en voor mogelijk beperkte digitale vaardigheden van deelnemers.&lt;/cite&gt;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Voor wie geldt de norm?</w:t>
      </w:r>
      <w:r>
        <w:rPr>
          <w:rFonts w:ascii="Calibri" w:cs="Calibri" w:eastAsia="Calibri" w:hAnsi="Calibri"/>
          <w:b w:val="false"/>
          <w:bCs w:val="false"/>
          <w:i w:val="false"/>
          <w:iCs w:val="false"/>
          <w:sz w:val="22"/>
          <w:szCs w:val="22"/>
        </w:rPr>
        <w:t xml:space="preserve"> &lt;cite index=“101-1”&gt;Voor de deelnemer, de gewezen deelnemer (slaper), de gewezen partner na een scheiding, en de pensioengerechtigde&lt;/cite&gt; — dus expliciet ook voor de doelgroepen uit deel 9 die in de praktijk het makkelijkst worden vergeten.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Documentatieplicht.</w:t>
      </w:r>
      <w:r>
        <w:rPr>
          <w:rFonts w:ascii="Calibri" w:cs="Calibri" w:eastAsia="Calibri" w:hAnsi="Calibri"/>
          <w:b w:val="false"/>
          <w:bCs w:val="false"/>
          <w:i w:val="false"/>
          <w:iCs w:val="false"/>
          <w:sz w:val="22"/>
          <w:szCs w:val="22"/>
        </w:rPr>
        <w:t xml:space="preserve"> &lt;cite index=“102-1”&gt;De uitvoerder moet stukken vastleggen die zien op de naleving van de keuzebegeleidingsnorm, en de communicatie met deelnemers vastleggen.&lt;/cite&gt; Dit is dezelfde discipline die in deel 4 al werd gevraagd bij het vastleggen van een werkingssfeerafweging: niet alleen goed handelen, maar het ook aantoonbaar maken.</w:t>
      </w:r>
    </w:p>
    <w:p>
      <w:pPr>
        <w:spacing w:after="100"/>
      </w:pPr>
    </w:p>
    <w:p>
      <w:pPr>
        <w:pStyle w:val="Heading2"/>
        <w:spacing w:after="120" w:before="200"/>
      </w:pPr>
      <w:r>
        <w:rPr>
          <w:rFonts w:ascii="Georgia" w:cs="Georgia" w:eastAsia="Georgia" w:hAnsi="Georgia"/>
          <w:b/>
          <w:bCs/>
          <w:color w:val="2563A8"/>
          <w:sz w:val="28"/>
          <w:szCs w:val="28"/>
        </w:rPr>
        <w:t xml:space="preserve">17.6 Keuzebegeleiding is geen advies — maar de grens is glad</w:t>
      </w:r>
    </w:p>
    <w:p>
      <w:pPr>
        <w:spacing w:after="140" w:line="300"/>
      </w:pPr>
      <w:r>
        <w:rPr>
          <w:rFonts w:ascii="Calibri" w:cs="Calibri" w:eastAsia="Calibri" w:hAnsi="Calibri"/>
          <w:b w:val="false"/>
          <w:bCs w:val="false"/>
          <w:i w:val="false"/>
          <w:iCs w:val="false"/>
          <w:sz w:val="22"/>
          <w:szCs w:val="22"/>
        </w:rPr>
        <w:t xml:space="preserve">Dit is het subtielste en in de praktijk lastigste punt van dit 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onderscheid in theorie.</w:t>
      </w:r>
      <w:r>
        <w:rPr>
          <w:rFonts w:ascii="Calibri" w:cs="Calibri" w:eastAsia="Calibri" w:hAnsi="Calibri"/>
          <w:b w:val="false"/>
          <w:bCs w:val="false"/>
          <w:i w:val="false"/>
          <w:iCs w:val="false"/>
          <w:sz w:val="22"/>
          <w:szCs w:val="22"/>
        </w:rPr>
        <w:t xml:space="preserve"> Keuzebegeleiding vult &lt;cite index=“101-1”&gt;een leemte tussen informeren en adviseren&lt;/cite&gt;: meer dan neutraal informeren, minder dan een persoonlijk financieel advies zoals een Wft-vergunninghouder dat geeft (deel 18).</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risico in de praktijk.</w:t>
      </w:r>
      <w:r>
        <w:rPr>
          <w:rFonts w:ascii="Calibri" w:cs="Calibri" w:eastAsia="Calibri" w:hAnsi="Calibri"/>
          <w:b w:val="false"/>
          <w:bCs w:val="false"/>
          <w:i w:val="false"/>
          <w:iCs w:val="false"/>
          <w:sz w:val="22"/>
          <w:szCs w:val="22"/>
        </w:rPr>
        <w:t xml:space="preserve"> &lt;cite index=“101-1”&gt;Hoe specifieker de uitvoerder een individuele deelnemer helpt, des te groter wordt zijn bijzondere zorgplicht&lt;/cite&gt; — de grens tussen begeleiden en adviseren schuift mee met hoe concreet de hulp wordt. &lt;cite index=“101-1”&gt;De norm is een open norm, die door verschillende uitvoerders verschillend wordt ingevuld&lt;/cite&gt;, mede afhankelijk van hun eigen IT-mogelijkheden en risicobereidheid.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dit ertoe doet voor jouw praktijk.</w:t>
      </w:r>
      <w:r>
        <w:rPr>
          <w:rFonts w:ascii="Calibri" w:cs="Calibri" w:eastAsia="Calibri" w:hAnsi="Calibri"/>
          <w:b w:val="false"/>
          <w:bCs w:val="false"/>
          <w:i w:val="false"/>
          <w:iCs w:val="false"/>
          <w:sz w:val="22"/>
          <w:szCs w:val="22"/>
        </w:rPr>
        <w:t xml:space="preserve"> Als adviseur van een werkgever (zoals bij Van Doorn) sta je vaak dichter bij individuele deelnemers dan de uitvoerder zelf. Besef dat jouw eigen rol daarbij een andere juridische grondslag heeft dan de keuzebegeleiding van de uitvoerder — jij bent, afhankelijk van je vergunning, mogelijk wél tot individueel advies bevoegd of juist nadrukkelijk niet (deel 18). Vermeng deze twee rollen nooit in je eigen communicatie naar een deelnemer.</w:t>
      </w:r>
    </w:p>
    <w:p>
      <w:pPr>
        <w:spacing w:after="100"/>
      </w:pPr>
    </w:p>
    <w:p>
      <w:pPr>
        <w:pStyle w:val="Heading2"/>
        <w:spacing w:after="120" w:before="200"/>
      </w:pPr>
      <w:r>
        <w:rPr>
          <w:rFonts w:ascii="Georgia" w:cs="Georgia" w:eastAsia="Georgia" w:hAnsi="Georgia"/>
          <w:b/>
          <w:bCs/>
          <w:color w:val="2563A8"/>
          <w:sz w:val="28"/>
          <w:szCs w:val="28"/>
        </w:rPr>
        <w:t xml:space="preserve">17.7 Gelaagde communicatie</w:t>
      </w:r>
    </w:p>
    <w:p>
      <w:pPr>
        <w:spacing w:after="140" w:line="300"/>
      </w:pPr>
      <w:r>
        <w:rPr>
          <w:rFonts w:ascii="Calibri" w:cs="Calibri" w:eastAsia="Calibri" w:hAnsi="Calibri"/>
          <w:b w:val="false"/>
          <w:bCs w:val="false"/>
          <w:i w:val="false"/>
          <w:iCs w:val="false"/>
          <w:sz w:val="22"/>
          <w:szCs w:val="22"/>
        </w:rPr>
        <w:t xml:space="preserve">Een terugkerend advies in de sector — en in deze cursus vanaf deel 1 al impliciet toegepast — is </w:t>
      </w:r>
      <w:r>
        <w:rPr>
          <w:rFonts w:ascii="Calibri" w:cs="Calibri" w:eastAsia="Calibri" w:hAnsi="Calibri"/>
          <w:b/>
          <w:bCs/>
          <w:i w:val="false"/>
          <w:iCs w:val="false"/>
          <w:sz w:val="22"/>
          <w:szCs w:val="22"/>
        </w:rPr>
        <w:t xml:space="preserve">gelaagde communicatie</w:t>
      </w:r>
      <w:r>
        <w:rPr>
          <w:rFonts w:ascii="Calibri" w:cs="Calibri" w:eastAsia="Calibri" w:hAnsi="Calibri"/>
          <w:b w:val="false"/>
          <w:bCs w:val="false"/>
          <w:i w:val="false"/>
          <w:iCs w:val="false"/>
          <w:sz w:val="22"/>
          <w:szCs w:val="22"/>
        </w:rPr>
        <w:t xml:space="preserve">: begin met een kort, toegankelijk hoofdbeeld, en bied van daaruit de mogelijkheid om dieper te gaan voor wie dat wil of nodig heeft.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Waarom dit werkt.</w:t>
      </w:r>
      <w:r>
        <w:rPr>
          <w:rFonts w:ascii="Calibri" w:cs="Calibri" w:eastAsia="Calibri" w:hAnsi="Calibri"/>
          <w:b w:val="false"/>
          <w:bCs w:val="false"/>
          <w:i w:val="false"/>
          <w:iCs w:val="false"/>
          <w:sz w:val="22"/>
          <w:szCs w:val="22"/>
        </w:rPr>
        <w:t xml:space="preserve"> &lt;cite index=“103-1”&gt;Gelaagde communicatie wordt aangeraden&lt;/cite&gt; juist omdat pensioenmateriaal complex is en deelnemers sterk verschillen in kennis, interesse en digitale vaardigheid (17.5). Eén uniforme, uitputtende brief bereikt bijna niemand goed: voor de een is zij te lang en afschrikwekkend, voor de ander te oppervlakkig.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Toepassing op de gesloten groep (deel 6).</w:t>
      </w:r>
      <w:r>
        <w:rPr>
          <w:rFonts w:ascii="Calibri" w:cs="Calibri" w:eastAsia="Calibri" w:hAnsi="Calibri"/>
          <w:b w:val="false"/>
          <w:bCs w:val="false"/>
          <w:i w:val="false"/>
          <w:iCs w:val="false"/>
          <w:sz w:val="22"/>
          <w:szCs w:val="22"/>
        </w:rPr>
        <w:t xml:space="preserve"> Voor deelnemers die onder de eerbiedigende werking blijven, is de eerste laag simpel: “uw premiesystematiek verandert niet, maar uw nabestaandenpensioen wel — hieronder wat dat voor u betekent.” Voor nieuwe instromers is de eerste laag anders: “u start in de nieuwe regeling met een vlakke premie van X%.” Twee groepen, twee eerste lagen, dezelfde onderliggende waarheid.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Toepassing op Karel (deel 8).</w:t>
      </w:r>
      <w:r>
        <w:rPr>
          <w:rFonts w:ascii="Calibri" w:cs="Calibri" w:eastAsia="Calibri" w:hAnsi="Calibri"/>
          <w:b w:val="false"/>
          <w:bCs w:val="false"/>
          <w:i w:val="false"/>
          <w:iCs w:val="false"/>
          <w:sz w:val="22"/>
          <w:szCs w:val="22"/>
        </w:rPr>
        <w:t xml:space="preserve"> Karels situatie — een aanzienlijk lager nabestaandenpensioen — verdient geen gelaagde brief maar het persoonlijke gesprek dat Anouk in deel 8 al voorbereidde. Gelaagde schriftelijke communicatie is het uitgangspunt voor de brede groep; voor de scherpste individuele gevallen blijft persoonlijk contact nodig, ook al is dat kostbaarder.</w:t>
      </w:r>
    </w:p>
    <w:p>
      <w:pPr>
        <w:spacing w:after="100"/>
      </w:pPr>
    </w:p>
    <w:p>
      <w:pPr>
        <w:pStyle w:val="Heading2"/>
        <w:spacing w:after="120" w:before="200"/>
      </w:pPr>
      <w:r>
        <w:rPr>
          <w:rFonts w:ascii="Georgia" w:cs="Georgia" w:eastAsia="Georgia" w:hAnsi="Georgia"/>
          <w:b/>
          <w:bCs/>
          <w:color w:val="2563A8"/>
          <w:sz w:val="28"/>
          <w:szCs w:val="28"/>
        </w:rPr>
        <w:t xml:space="preserve">17.8 Het communicatiebeleid voor Van Doorn Techniek: opzet</w:t>
      </w:r>
    </w:p>
    <w:p>
      <w:pPr>
        <w:spacing w:after="140" w:line="300"/>
      </w:pPr>
      <w:r>
        <w:rPr>
          <w:rFonts w:ascii="Calibri" w:cs="Calibri" w:eastAsia="Calibri" w:hAnsi="Calibri"/>
          <w:b w:val="false"/>
          <w:bCs w:val="false"/>
          <w:i w:val="false"/>
          <w:iCs w:val="false"/>
          <w:sz w:val="22"/>
          <w:szCs w:val="22"/>
        </w:rPr>
        <w:t xml:space="preserve">Breng de voorgaande onderdelen samen tot een opzet voor Van Doorn.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Doelgroepen:</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1. Zittende deelnemers die onder eerbiedigende werking blijven (indien die keuze wordt gemaakt, deel 6) — kernboodschap: premiesystematiek ongewijzigd, nabestaandenpensioen wél gewijzigd.</w:t>
      </w:r>
    </w:p>
    <w:p>
      <w:pPr>
        <w:pStyle w:val="ListParagraph"/>
        <w:numPr>
          <w:ilvl w:val="0"/>
          <w:numId w:val="1"/>
        </w:numPr>
        <w:spacing w:after="80"/>
      </w:pPr>
      <w:r>
        <w:rPr>
          <w:rFonts w:ascii="Calibri" w:cs="Calibri" w:eastAsia="Calibri" w:hAnsi="Calibri"/>
          <w:sz w:val="22"/>
          <w:szCs w:val="22"/>
        </w:rPr>
        <w:t xml:space="preserve">2. Zittende deelnemers die naar de vlakke premie overgaan zonder eerbiediging — kernboodschap: premie verandert, mogelijk met compensatie, in euro’s uitgelegd (deel 11).</w:t>
      </w:r>
    </w:p>
    <w:p>
      <w:pPr>
        <w:pStyle w:val="ListParagraph"/>
        <w:numPr>
          <w:ilvl w:val="0"/>
          <w:numId w:val="1"/>
        </w:numPr>
        <w:spacing w:after="80"/>
      </w:pPr>
      <w:r>
        <w:rPr>
          <w:rFonts w:ascii="Calibri" w:cs="Calibri" w:eastAsia="Calibri" w:hAnsi="Calibri"/>
          <w:sz w:val="22"/>
          <w:szCs w:val="22"/>
        </w:rPr>
        <w:t xml:space="preserve">3. Nieuwe instromers na de omzetting — kernboodschap: dit is uw reguliere regeling, geen vergelijking met “vroeger” nodig.</w:t>
      </w:r>
    </w:p>
    <w:p>
      <w:pPr>
        <w:pStyle w:val="ListParagraph"/>
        <w:numPr>
          <w:ilvl w:val="0"/>
          <w:numId w:val="1"/>
        </w:numPr>
        <w:spacing w:after="80"/>
      </w:pPr>
      <w:r>
        <w:rPr>
          <w:rFonts w:ascii="Calibri" w:cs="Calibri" w:eastAsia="Calibri" w:hAnsi="Calibri"/>
          <w:sz w:val="22"/>
          <w:szCs w:val="22"/>
        </w:rPr>
        <w:t xml:space="preserve">4. Bijzondere individuele gevallen — Karel als schoolvoorbeeld — kernboodschap: persoonlijk gesprek, in euro’s, met de opties uit deel 8 concreet gemaakt.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Kanalen en gelaagdheid.</w:t>
      </w:r>
      <w:r>
        <w:rPr>
          <w:rFonts w:ascii="Calibri" w:cs="Calibri" w:eastAsia="Calibri" w:hAnsi="Calibri"/>
          <w:b w:val="false"/>
          <w:bCs w:val="false"/>
          <w:i w:val="false"/>
          <w:iCs w:val="false"/>
          <w:sz w:val="22"/>
          <w:szCs w:val="22"/>
        </w:rPr>
        <w:t xml:space="preserve"> Een korte, algemene aankondiging voor iedereen; een aangepast Pensioen 1-2-3 per doelgroep; het prognose-transitieoverzicht met een heldere toelichting; en voor doelgroep 4 een persoonlijk gesprek, niet alleen een brief.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Datakwaliteitscontrole vooraf.</w:t>
      </w:r>
      <w:r>
        <w:rPr>
          <w:rFonts w:ascii="Calibri" w:cs="Calibri" w:eastAsia="Calibri" w:hAnsi="Calibri"/>
          <w:b w:val="false"/>
          <w:bCs w:val="false"/>
          <w:i w:val="false"/>
          <w:iCs w:val="false"/>
          <w:sz w:val="22"/>
          <w:szCs w:val="22"/>
        </w:rPr>
        <w:t xml:space="preserve"> Vóór er iets wordt verstuurd: een controle dat de onderliggende bestandsgegevens (deel 14, inventarisatiefase) kloppen, zodat er geen definitief transitieoverzicht wordt verstuurd dat later gecorrigeerd moet worden — dat soort correcties ondermijnt het vertrouwen sneller dan bijna iets anders.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Documentatie.</w:t>
      </w:r>
      <w:r>
        <w:rPr>
          <w:rFonts w:ascii="Calibri" w:cs="Calibri" w:eastAsia="Calibri" w:hAnsi="Calibri"/>
          <w:b w:val="false"/>
          <w:bCs w:val="false"/>
          <w:i w:val="false"/>
          <w:iCs w:val="false"/>
          <w:sz w:val="22"/>
          <w:szCs w:val="22"/>
        </w:rPr>
        <w:t xml:space="preserve"> Elke stap vastgelegd: wie is wanneer geïnformeerd, met welke boodschap, en welke keuzebegeleiding is aangeboden — niet uit bureaucratische reflex, maar omdat dit precies is wat artikel 48a en het toezicht daarop vereisen.</w:t>
      </w:r>
    </w:p>
    <w:p>
      <w:pPr>
        <w:spacing w:after="100"/>
      </w:pPr>
    </w:p>
    <w:p>
      <w:pPr>
        <w:pStyle w:val="Heading2"/>
        <w:spacing w:after="120" w:before="200"/>
      </w:pPr>
      <w:r>
        <w:rPr>
          <w:rFonts w:ascii="Georgia" w:cs="Georgia" w:eastAsia="Georgia" w:hAnsi="Georgia"/>
          <w:b/>
          <w:bCs/>
          <w:color w:val="2563A8"/>
          <w:sz w:val="28"/>
          <w:szCs w:val="28"/>
        </w:rPr>
        <w:t xml:space="preserve">17.9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Communicatieplan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Verplicht document over hoe deelnemers bij de transitie worden geïnformeerd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Prognose-transitieoverzicht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Overzicht vóór de omzetting, met een verwachte uitkomst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Definitief transitieoverzicht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Overzicht ná de omzetting, met de daadwerkelijke uitkomst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Keuzebegeleiding (art. 48a Pw)</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Wettelijke norm: adequate begeleiding bij keuzes, tussen informeren en adviseren in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Nudging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Sturende invloed van de manier waarop een keuzeomgeving is ingericht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Gelaagde communicatie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Kort en toegankelijk beginnen, met de mogelijkheid dieper te gaan</w:t>
            </w:r>
          </w:p>
        </w:tc>
      </w:tr>
    </w:tbl>
    <w:p>
      <w:pPr>
        <w:spacing w:after="100"/>
      </w:pPr>
    </w:p>
    <w:p>
      <w:pPr>
        <w:pStyle w:val="Heading2"/>
        <w:spacing w:after="120" w:before="200"/>
      </w:pPr>
      <w:r>
        <w:rPr>
          <w:rFonts w:ascii="Georgia" w:cs="Georgia" w:eastAsia="Georgia" w:hAnsi="Georgia"/>
          <w:b/>
          <w:bCs/>
          <w:color w:val="2563A8"/>
          <w:sz w:val="28"/>
          <w:szCs w:val="28"/>
        </w:rPr>
        <w:t xml:space="preserve">17.10 Samenvatting</w:t>
      </w:r>
    </w:p>
    <w:p>
      <w:pPr>
        <w:pStyle w:val="ListParagraph"/>
        <w:numPr>
          <w:ilvl w:val="0"/>
          <w:numId w:val="1"/>
        </w:numPr>
        <w:spacing w:after="80"/>
      </w:pPr>
      <w:r>
        <w:rPr>
          <w:rFonts w:ascii="Calibri" w:cs="Calibri" w:eastAsia="Calibri" w:hAnsi="Calibri"/>
          <w:sz w:val="22"/>
          <w:szCs w:val="22"/>
        </w:rPr>
        <w:t xml:space="preserve">Het communicatieplan is het derde verplichte transitiedocument, naast het transitieplan en implementatieplan, en mag per doelgroep verschillen.</w:t>
      </w:r>
    </w:p>
    <w:p>
      <w:pPr>
        <w:pStyle w:val="ListParagraph"/>
        <w:numPr>
          <w:ilvl w:val="0"/>
          <w:numId w:val="1"/>
        </w:numPr>
        <w:spacing w:after="80"/>
      </w:pPr>
      <w:r>
        <w:rPr>
          <w:rFonts w:ascii="Calibri" w:cs="Calibri" w:eastAsia="Calibri" w:hAnsi="Calibri"/>
          <w:sz w:val="22"/>
          <w:szCs w:val="22"/>
        </w:rPr>
        <w:t xml:space="preserve">Correcte communicatie staat of valt met datakwaliteit — een koppeling die in deel 19 verder wordt uitgewerkt.</w:t>
      </w:r>
    </w:p>
    <w:p>
      <w:pPr>
        <w:pStyle w:val="ListParagraph"/>
        <w:numPr>
          <w:ilvl w:val="0"/>
          <w:numId w:val="1"/>
        </w:numPr>
        <w:spacing w:after="80"/>
      </w:pPr>
      <w:r>
        <w:rPr>
          <w:rFonts w:ascii="Calibri" w:cs="Calibri" w:eastAsia="Calibri" w:hAnsi="Calibri"/>
          <w:sz w:val="22"/>
          <w:szCs w:val="22"/>
        </w:rPr>
        <w:t xml:space="preserve">Prognose- en definitieve transitieoverzichten moeten bij afwijking van elkaar expliciet worden toegelicht; de AFM houdt hier gericht toezicht op.</w:t>
      </w:r>
    </w:p>
    <w:p>
      <w:pPr>
        <w:pStyle w:val="ListParagraph"/>
        <w:numPr>
          <w:ilvl w:val="0"/>
          <w:numId w:val="1"/>
        </w:numPr>
        <w:spacing w:after="80"/>
      </w:pPr>
      <w:r>
        <w:rPr>
          <w:rFonts w:ascii="Calibri" w:cs="Calibri" w:eastAsia="Calibri" w:hAnsi="Calibri"/>
          <w:sz w:val="22"/>
          <w:szCs w:val="22"/>
        </w:rPr>
        <w:t xml:space="preserve">Artikel 48a Pensioenwet verplicht tot adequate keuzebegeleiding, met aandacht voor activering, risico’s, handelingsperspectief en de inrichting van de keuzeomgeving zelf.</w:t>
      </w:r>
    </w:p>
    <w:p>
      <w:pPr>
        <w:pStyle w:val="ListParagraph"/>
        <w:numPr>
          <w:ilvl w:val="0"/>
          <w:numId w:val="1"/>
        </w:numPr>
        <w:spacing w:after="80"/>
      </w:pPr>
      <w:r>
        <w:rPr>
          <w:rFonts w:ascii="Calibri" w:cs="Calibri" w:eastAsia="Calibri" w:hAnsi="Calibri"/>
          <w:sz w:val="22"/>
          <w:szCs w:val="22"/>
        </w:rPr>
        <w:t xml:space="preserve">De grens tussen keuzebegeleiding en advies is een open norm die meebeweegt met hoe specifiek de hulp wordt — vermeng je eigen adviesrol nooit met de keuzebegeleiding van de uitvoerder.</w:t>
      </w:r>
    </w:p>
    <w:p>
      <w:pPr>
        <w:pStyle w:val="ListParagraph"/>
        <w:numPr>
          <w:ilvl w:val="0"/>
          <w:numId w:val="1"/>
        </w:numPr>
        <w:spacing w:after="80"/>
      </w:pPr>
      <w:r>
        <w:rPr>
          <w:rFonts w:ascii="Calibri" w:cs="Calibri" w:eastAsia="Calibri" w:hAnsi="Calibri"/>
          <w:sz w:val="22"/>
          <w:szCs w:val="22"/>
        </w:rPr>
        <w:t xml:space="preserve">Gelaagde communicatie, met verschillende eerste lagen per doelgroep, is het praktische antwoord op de diversiteit binnen elk deelnemersbestand.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18.</w:t>
      </w:r>
      <w:r>
        <w:rPr>
          <w:rFonts w:ascii="Calibri" w:cs="Calibri" w:eastAsia="Calibri" w:hAnsi="Calibri"/>
          <w:b w:val="false"/>
          <w:bCs w:val="false"/>
          <w:i w:val="false"/>
          <w:iCs w:val="false"/>
          <w:sz w:val="22"/>
          <w:szCs w:val="22"/>
        </w:rPr>
        <w:t xml:space="preserve"> Dit deel raakte al even de grens tussen keuzebegeleiding en advies. Deel 18 werkt die grens volledig uit: de zorgplicht van de adviseur, het klantprofiel, en de vergunningen die bepalen wie welke vorm van hulp mag bieden — het juridische kader waarbinnen alles wat in deze cursus is behandeld, uiteindelijk moet worden waargemaakt.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2026-08-17T11:22:45.317Z</dcterms:created>
  <dcterms:modified xsi:type="dcterms:W3CDTF">2026-08-17T11:22:45.317Z</dcterms:modified>
</cp:coreProperties>
</file>

<file path=docProps/custom.xml><?xml version="1.0" encoding="utf-8"?>
<Properties xmlns="http://schemas.openxmlformats.org/officeDocument/2006/custom-properties" xmlns:vt="http://schemas.openxmlformats.org/officeDocument/2006/docPropsVTypes"/>
</file>