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17 — Werkboek</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17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Opdrachten met uitwerkingen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Opdracht 17.1 — Drie documenten uit elkaar houden</w:t>
      </w:r>
    </w:p>
    <w:p>
      <w:pPr>
        <w:spacing w:after="140" w:line="300"/>
      </w:pPr>
      <w:r>
        <w:rPr>
          <w:rFonts w:ascii="Calibri" w:cs="Calibri" w:eastAsia="Calibri" w:hAnsi="Calibri"/>
          <w:b w:val="false"/>
          <w:bCs w:val="false"/>
          <w:i w:val="false"/>
          <w:iCs w:val="false"/>
          <w:sz w:val="22"/>
          <w:szCs w:val="22"/>
        </w:rPr>
        <w:t xml:space="preserve">Voor elk document: is dit het transitieplan (deel 7), het implementatieplan (deel 15), of het communicatieplan?</w:t>
      </w:r>
    </w:p>
    <w:p>
      <w:pPr>
        <w:spacing w:after="140" w:line="300"/>
      </w:pPr>
      <w:r>
        <w:rPr>
          <w:rFonts w:ascii="Calibri" w:cs="Calibri" w:eastAsia="Calibri" w:hAnsi="Calibri"/>
          <w:b w:val="false"/>
          <w:bCs w:val="false"/>
          <w:i w:val="false"/>
          <w:iCs w:val="false"/>
          <w:sz w:val="22"/>
          <w:szCs w:val="22"/>
        </w:rPr>
        <w:t xml:space="preserve">a. Beschrijft hoe de uitvoerder deelnemers gaat informeren, per doelgroep en kanaal.</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Legt de arbeidsvoorwaardelijke keuzes vast: premie, eerbiedigende werking, compensatie.</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Beschrijft hoe de uitvoerder de dataoverdracht, systeeminrichting en planning van de omzetting aanpakt.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 communicatieplan. b: transitieplan. c: implementatieplan. Alle drie zijn afzonderlijke, wettelijk verplichte documenten die inhoudelijk op elkaar moeten aansluiten maar een eigen functie hebben.</w:t>
            </w:r>
          </w:p>
        </w:tc>
      </w:tr>
    </w:tbl>
    <w:p>
      <w:pPr>
        <w:spacing w:after="100"/>
      </w:pPr>
    </w:p>
    <w:p>
      <w:pPr>
        <w:pStyle w:val="Heading2"/>
        <w:spacing w:after="120" w:before="200"/>
      </w:pPr>
      <w:r>
        <w:rPr>
          <w:rFonts w:ascii="Georgia" w:cs="Georgia" w:eastAsia="Georgia" w:hAnsi="Georgia"/>
          <w:b/>
          <w:bCs/>
          <w:color w:val="2563A8"/>
          <w:sz w:val="28"/>
          <w:szCs w:val="28"/>
        </w:rPr>
        <w:t xml:space="preserve">Opdracht 17.2 — Doelgroepen onderscheiden</w:t>
      </w:r>
    </w:p>
    <w:p>
      <w:pPr>
        <w:spacing w:after="140" w:line="300"/>
      </w:pPr>
      <w:r>
        <w:rPr>
          <w:rFonts w:ascii="Calibri" w:cs="Calibri" w:eastAsia="Calibri" w:hAnsi="Calibri"/>
          <w:b w:val="false"/>
          <w:bCs w:val="false"/>
          <w:i w:val="false"/>
          <w:iCs w:val="false"/>
          <w:sz w:val="22"/>
          <w:szCs w:val="22"/>
        </w:rPr>
        <w:t xml:space="preserve">Van Doorn Techniek heeft vier deelnemersgroepen (paragraaf 17.8). Voor elke groep: formuleer de kernboodschap van de </w:t>
      </w:r>
      <w:r>
        <w:rPr>
          <w:rFonts w:ascii="Calibri" w:cs="Calibri" w:eastAsia="Calibri" w:hAnsi="Calibri"/>
          <w:b/>
          <w:bCs/>
          <w:i w:val="false"/>
          <w:iCs w:val="false"/>
          <w:sz w:val="22"/>
          <w:szCs w:val="22"/>
        </w:rPr>
        <w:t xml:space="preserve">eerste laag</w:t>
      </w:r>
      <w:r>
        <w:rPr>
          <w:rFonts w:ascii="Calibri" w:cs="Calibri" w:eastAsia="Calibri" w:hAnsi="Calibri"/>
          <w:b w:val="false"/>
          <w:bCs w:val="false"/>
          <w:i w:val="false"/>
          <w:iCs w:val="false"/>
          <w:sz w:val="22"/>
          <w:szCs w:val="22"/>
        </w:rPr>
        <w:t xml:space="preserve"> van de communicatie, in maximaal twee zinnen, zonder jargon.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(voorbeelden).</w:t>
            </w:r>
          </w:p>
        </w:tc>
      </w:tr>
    </w:tbl>
    <w:p>
      <w:pPr>
        <w:spacing w:after="140" w:line="300"/>
      </w:pPr>
      <w:r>
        <w:rPr>
          <w:rFonts w:ascii="Calibri" w:cs="Calibri" w:eastAsia="Calibri" w:hAnsi="Calibri"/>
          <w:b w:val="false"/>
          <w:bCs w:val="false"/>
          <w:i w:val="false"/>
          <w:iCs w:val="false"/>
          <w:sz w:val="22"/>
          <w:szCs w:val="22"/>
        </w:rPr>
        <w:t xml:space="preserve">Groep 1 (eerbiedigende werking): “Uw huidige premieopbouw verandert niet. Wel verandert de regeling voor uw partner en kinderen als u zou overlijden — dat leggen we hieronder uit.”</w:t>
      </w:r>
    </w:p>
    <w:p>
      <w:pPr>
        <w:spacing w:after="140" w:line="300"/>
      </w:pPr>
      <w:r>
        <w:rPr>
          <w:rFonts w:ascii="Calibri" w:cs="Calibri" w:eastAsia="Calibri" w:hAnsi="Calibri"/>
          <w:b w:val="false"/>
          <w:bCs w:val="false"/>
          <w:i w:val="false"/>
          <w:iCs w:val="false"/>
          <w:sz w:val="22"/>
          <w:szCs w:val="22"/>
        </w:rPr>
        <w:t xml:space="preserve">Groep 2 (naar vlakke premie zonder eerbiediging): “Vanaf [datum] betaalt u een vast premiepercentage in plaats van een percentage dat met uw leeftijd meegroeide. Voor u betekent dat concreet: [bedrag] per maand.”</w:t>
      </w:r>
    </w:p>
    <w:p>
      <w:pPr>
        <w:spacing w:after="140" w:line="300"/>
      </w:pPr>
      <w:r>
        <w:rPr>
          <w:rFonts w:ascii="Calibri" w:cs="Calibri" w:eastAsia="Calibri" w:hAnsi="Calibri"/>
          <w:b w:val="false"/>
          <w:bCs w:val="false"/>
          <w:i w:val="false"/>
          <w:iCs w:val="false"/>
          <w:sz w:val="22"/>
          <w:szCs w:val="22"/>
        </w:rPr>
        <w:t xml:space="preserve">Groep 3 (nieuwe instromers): “Welkom in de pensioenregeling van Van Doorn Techniek. U bouwt vanaf nu pensioen op met een vast premiepercentage van [percentage].”</w:t>
      </w:r>
    </w:p>
    <w:p>
      <w:pPr>
        <w:spacing w:after="140" w:line="300"/>
      </w:pPr>
      <w:r>
        <w:rPr>
          <w:rFonts w:ascii="Calibri" w:cs="Calibri" w:eastAsia="Calibri" w:hAnsi="Calibri"/>
          <w:b w:val="false"/>
          <w:bCs w:val="false"/>
          <w:i w:val="false"/>
          <w:iCs w:val="false"/>
          <w:sz w:val="22"/>
          <w:szCs w:val="22"/>
        </w:rPr>
        <w:t xml:space="preserve">Groep 4 (Karel e.d.): geen brief als eerste laag — een uitnodiging voor een persoonlijk gesprek.</w:t>
      </w:r>
    </w:p>
    <w:p>
      <w:pPr>
        <w:spacing w:after="140" w:line="300"/>
      </w:pPr>
      <w:r>
        <w:rPr>
          <w:rFonts w:ascii="Calibri" w:cs="Calibri" w:eastAsia="Calibri" w:hAnsi="Calibri"/>
          <w:b w:val="false"/>
          <w:bCs w:val="false"/>
          <w:i w:val="false"/>
          <w:iCs w:val="false"/>
          <w:sz w:val="22"/>
          <w:szCs w:val="22"/>
        </w:rPr>
        <w:t xml:space="preserve">Beoordelingslijn: geen enkele boodschap mag het woord “gemiddeld” bevatten (deel 8), en groep 4 mag niet met een standaardbrief worden aangeschreven als eerste contactmoment.</w:t>
      </w:r>
    </w:p>
    <w:p>
      <w:pPr>
        <w:spacing w:after="100"/>
      </w:pPr>
    </w:p>
    <w:p>
      <w:pPr>
        <w:pStyle w:val="Heading2"/>
        <w:spacing w:after="120" w:before="200"/>
      </w:pPr>
      <w:r>
        <w:rPr>
          <w:rFonts w:ascii="Georgia" w:cs="Georgia" w:eastAsia="Georgia" w:hAnsi="Georgia"/>
          <w:b/>
          <w:bCs/>
          <w:color w:val="2563A8"/>
          <w:sz w:val="28"/>
          <w:szCs w:val="28"/>
        </w:rPr>
        <w:t xml:space="preserve">Opdracht 17.3 — Prognose versus definitief</w:t>
      </w:r>
    </w:p>
    <w:p>
      <w:pPr>
        <w:spacing w:after="140" w:line="300"/>
      </w:pPr>
      <w:r>
        <w:rPr>
          <w:rFonts w:ascii="Calibri" w:cs="Calibri" w:eastAsia="Calibri" w:hAnsi="Calibri"/>
          <w:b w:val="false"/>
          <w:bCs w:val="false"/>
          <w:i w:val="false"/>
          <w:iCs w:val="false"/>
          <w:sz w:val="22"/>
          <w:szCs w:val="22"/>
        </w:rPr>
        <w:t xml:space="preserve">Het prognose-transitieoverzicht van een deelnemer toonde een verwacht pensioenvermogen op basis van een projectierendement van 4%. Het definitieve overzicht, een jaar later opgesteld, toont een lager bedrag.</w:t>
      </w:r>
    </w:p>
    <w:p>
      <w:pPr>
        <w:spacing w:after="140" w:line="300"/>
      </w:pPr>
      <w:r>
        <w:rPr>
          <w:rFonts w:ascii="Calibri" w:cs="Calibri" w:eastAsia="Calibri" w:hAnsi="Calibri"/>
          <w:b w:val="false"/>
          <w:bCs w:val="false"/>
          <w:i w:val="false"/>
          <w:iCs w:val="false"/>
          <w:sz w:val="22"/>
          <w:szCs w:val="22"/>
        </w:rPr>
        <w:t xml:space="preserve">a. Mag de uitvoerder dit verschil onvermeld laten omdat “de definitieve cijfers nu eenmaal leidend zijn”?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moet er wél gebeuren?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Welk eerder deel van deze cursus verklaart waarom het projectierendement tot zo’n verschil kan leiden?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Nee — dit is een wettelijke verplichting, geen keuze. Het verschil moet expliciet worden toegelicht.</w:t>
      </w:r>
    </w:p>
    <w:p>
      <w:pPr>
        <w:spacing w:after="140" w:line="300"/>
      </w:pPr>
      <w:r>
        <w:rPr>
          <w:rFonts w:ascii="Calibri" w:cs="Calibri" w:eastAsia="Calibri" w:hAnsi="Calibri"/>
          <w:b w:val="false"/>
          <w:bCs w:val="false"/>
          <w:i w:val="false"/>
          <w:iCs w:val="false"/>
          <w:sz w:val="22"/>
          <w:szCs w:val="22"/>
        </w:rPr>
        <w:t xml:space="preserve">b. De uitvoerder moet uitleggen waarom het definitieve overzicht afwijkt van de prognose: bijvoorbeeld doordat het daadwerkelijke rendement lager uitviel dan het ingerekende projectierendement, of doordat de rentestand op het moment van vaststelling is gewijzigd.</w:t>
      </w:r>
    </w:p>
    <w:p>
      <w:pPr>
        <w:spacing w:after="140" w:line="300"/>
      </w:pPr>
      <w:r>
        <w:rPr>
          <w:rFonts w:ascii="Calibri" w:cs="Calibri" w:eastAsia="Calibri" w:hAnsi="Calibri"/>
          <w:b w:val="false"/>
          <w:bCs w:val="false"/>
          <w:i w:val="false"/>
          <w:iCs w:val="false"/>
          <w:sz w:val="22"/>
          <w:szCs w:val="22"/>
        </w:rPr>
        <w:t xml:space="preserve">c. Deel 13 — het projectierendement is een vooraf ingerekend verwacht rendement; wijkt het werkelijke rendement daarvan af, dan wijkt ook de uitkomst af. Dit is dezelfde mechaniek die daar werd behandeld, nu toegepast op de communicatieverplichting eromheen.</w:t>
      </w:r>
    </w:p>
    <w:p>
      <w:pPr>
        <w:spacing w:after="100"/>
      </w:pPr>
    </w:p>
    <w:p>
      <w:pPr>
        <w:pStyle w:val="Heading2"/>
        <w:spacing w:after="120" w:before="200"/>
      </w:pPr>
      <w:r>
        <w:rPr>
          <w:rFonts w:ascii="Georgia" w:cs="Georgia" w:eastAsia="Georgia" w:hAnsi="Georgia"/>
          <w:b/>
          <w:bCs/>
          <w:color w:val="2563A8"/>
          <w:sz w:val="28"/>
          <w:szCs w:val="28"/>
        </w:rPr>
        <w:t xml:space="preserve">Opdracht 17.4 — De norm keuzebegeleiding toepassen</w:t>
      </w:r>
    </w:p>
    <w:p>
      <w:pPr>
        <w:spacing w:after="140" w:line="300"/>
      </w:pPr>
      <w:r>
        <w:rPr>
          <w:rFonts w:ascii="Calibri" w:cs="Calibri" w:eastAsia="Calibri" w:hAnsi="Calibri"/>
          <w:b w:val="false"/>
          <w:bCs w:val="false"/>
          <w:i w:val="false"/>
          <w:iCs w:val="false"/>
          <w:sz w:val="22"/>
          <w:szCs w:val="22"/>
        </w:rPr>
        <w:t xml:space="preserve">Een uitvoerder stuurt alle deelnemers die de pensioengerechtigde leeftijd naderen een e-mail met de tekst: “U kunt kiezen tussen een vaste en een variabele uitkering. Log in op het portaal voor meer informatie.” Voldoet dit aan de norm keuzebegeleiding?</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Waarschijnlijk niet, of in ieder geval onvoldoende zonder nadere onderbouwing. De norm vraagt om activering, om wijzen op risico’s en gevolgen mét handelingsperspectief, en om een keuzeomgeving die de deelnemer daadwerkelijk in staat stelt een passende keuze te maken — niet alleen het bestaan van een keuze melden. Een enkele e-mail met een linkverwijzing voldoet aan het informeren, maar toont niet aan dat er sprake is van adequate begeleiding, vooral niet voor deelnemers met beperkte digitale vaardigheden (17.5). Bovendien ontbreekt hier elke vorm van differentiatie: dezelfde tekst voor iedereen, ongeacht diens situatie.</w:t>
            </w:r>
          </w:p>
        </w:tc>
      </w:tr>
    </w:tbl>
    <w:p>
      <w:pPr>
        <w:spacing w:after="100"/>
      </w:pPr>
    </w:p>
    <w:p>
      <w:pPr>
        <w:pStyle w:val="Heading2"/>
        <w:spacing w:after="120" w:before="200"/>
      </w:pPr>
      <w:r>
        <w:rPr>
          <w:rFonts w:ascii="Georgia" w:cs="Georgia" w:eastAsia="Georgia" w:hAnsi="Georgia"/>
          <w:b/>
          <w:bCs/>
          <w:color w:val="2563A8"/>
          <w:sz w:val="28"/>
          <w:szCs w:val="28"/>
        </w:rPr>
        <w:t xml:space="preserve">Opdracht 17.5 — Keuzebegeleiding of advies?</w:t>
      </w:r>
    </w:p>
    <w:p>
      <w:pPr>
        <w:spacing w:after="140" w:line="300"/>
      </w:pPr>
      <w:r>
        <w:rPr>
          <w:rFonts w:ascii="Calibri" w:cs="Calibri" w:eastAsia="Calibri" w:hAnsi="Calibri"/>
          <w:b w:val="false"/>
          <w:bCs w:val="false"/>
          <w:i w:val="false"/>
          <w:iCs w:val="false"/>
          <w:sz w:val="22"/>
          <w:szCs w:val="22"/>
        </w:rPr>
        <w:t xml:space="preserve">Beoordeel per situatie of dit binnen keuzebegeleiding past of de grens naar advies overschrijdt.</w:t>
      </w:r>
    </w:p>
    <w:p>
      <w:pPr>
        <w:spacing w:after="140" w:line="300"/>
      </w:pPr>
      <w:r>
        <w:rPr>
          <w:rFonts w:ascii="Calibri" w:cs="Calibri" w:eastAsia="Calibri" w:hAnsi="Calibri"/>
          <w:b w:val="false"/>
          <w:bCs w:val="false"/>
          <w:i w:val="false"/>
          <w:iCs w:val="false"/>
          <w:sz w:val="22"/>
          <w:szCs w:val="22"/>
        </w:rPr>
        <w:t xml:space="preserve">a. Een online tool die op basis van leeftijd en pensioenvermogen laat zien wat een vaste versus een variabele uitkering ongeveer zou opleveren.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Een medewerker van de uitvoerder die telefonisch zegt: “Gezien uw persoonlijke situatie zou ik u aanraden voor de vaste uitkering te kiezen.”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Een medewerker die zegt: “Veel mensen in een vergelijkbare situatie als u kiezen voor de vaste uitkering, maar wat het beste bij u past kan ik niet voor u beoordelen — daarvoor kunt u een financieel adviseur raadplegen.”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 keuzebegeleiding — algemene, illustratieve informatie zonder persoonlijke aanbeveling. b: overschrijdt de grens — dit is een concrete, persoonlijke aanbeveling, wat dichter bij advies ligt en een zwaardere zorgplicht met zich meebrengt dan de uitvoerder in het kader van keuzebegeleiding hoort te dragen. c: keuzebegeleiding — activeert, geeft context, maar vermijdt een persoonlijke aanbeveling en verwijst expliciet door.</w:t>
            </w:r>
          </w:p>
        </w:tc>
      </w:tr>
    </w:tbl>
    <w:p>
      <w:pPr>
        <w:spacing w:after="140" w:line="300"/>
      </w:pPr>
      <w:r>
        <w:rPr>
          <w:rFonts w:ascii="Calibri" w:cs="Calibri" w:eastAsia="Calibri" w:hAnsi="Calibri"/>
          <w:b w:val="false"/>
          <w:bCs w:val="false"/>
          <w:i w:val="false"/>
          <w:iCs w:val="false"/>
          <w:sz w:val="22"/>
          <w:szCs w:val="22"/>
        </w:rPr>
        <w:t xml:space="preserve">Casus b is de valkuil die in paragraaf 17.6 wordt beschreven: hoe specifieker de hulp, hoe groter het risico dat de grens naar advies wordt overschreden zonder dat de bijbehorende vergunning en zorgplicht aanwezig zijn.</w:t>
      </w:r>
    </w:p>
    <w:p>
      <w:pPr>
        <w:spacing w:after="100"/>
      </w:pPr>
    </w:p>
    <w:p>
      <w:pPr>
        <w:pStyle w:val="Heading2"/>
        <w:spacing w:after="120" w:before="200"/>
      </w:pPr>
      <w:r>
        <w:rPr>
          <w:rFonts w:ascii="Georgia" w:cs="Georgia" w:eastAsia="Georgia" w:hAnsi="Georgia"/>
          <w:b/>
          <w:bCs/>
          <w:color w:val="2563A8"/>
          <w:sz w:val="28"/>
          <w:szCs w:val="28"/>
        </w:rPr>
        <w:t xml:space="preserve">Opdracht 17.6 — Gelaagde communicatie ontwerpen</w:t>
      </w:r>
    </w:p>
    <w:p>
      <w:pPr>
        <w:spacing w:after="140" w:line="300"/>
      </w:pPr>
      <w:r>
        <w:rPr>
          <w:rFonts w:ascii="Calibri" w:cs="Calibri" w:eastAsia="Calibri" w:hAnsi="Calibri"/>
          <w:b w:val="false"/>
          <w:bCs w:val="false"/>
          <w:i w:val="false"/>
          <w:iCs w:val="false"/>
          <w:sz w:val="22"/>
          <w:szCs w:val="22"/>
        </w:rPr>
        <w:t xml:space="preserve">Ontwerp voor een fictieve deelnemer — 45 jaar, gemiddeld digitaal vaardig, geen specifieke aanleiding voor zorg — de eerste twee lagen van de communicatie over de aanstaande transitie bij Van Doorn Techniek: laag 1 (kort, wat verandert er voor mij) en laag 2 (iets uitgebreider, met een concreet cijfer).</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uniek modelantwoord. Beoordelingscriteria: laag 1 bevat geen jargon en is in twee tot drie zinnen te lezen; laag 2 bevat een concreet, doorgerekend bedrag (deel 11) in plaats van alleen een percentage; en beide lagen bevatten een duidelijke volgende stap (waar kan ik meer lezen, met wie kan ik contact opnemen).</w:t>
            </w:r>
          </w:p>
        </w:tc>
      </w:tr>
    </w:tbl>
    <w:p>
      <w:pPr>
        <w:spacing w:after="100"/>
      </w:pPr>
    </w:p>
    <w:p>
      <w:pPr>
        <w:pStyle w:val="Heading2"/>
        <w:spacing w:after="120" w:before="200"/>
      </w:pPr>
      <w:r>
        <w:rPr>
          <w:rFonts w:ascii="Georgia" w:cs="Georgia" w:eastAsia="Georgia" w:hAnsi="Georgia"/>
          <w:b/>
          <w:bCs/>
          <w:color w:val="2563A8"/>
          <w:sz w:val="28"/>
          <w:szCs w:val="28"/>
        </w:rPr>
        <w:t xml:space="preserve">Opdracht 17.7 — Datakwaliteit en communicatie</w:t>
      </w:r>
    </w:p>
    <w:p>
      <w:pPr>
        <w:spacing w:after="140" w:line="300"/>
      </w:pPr>
      <w:r>
        <w:rPr>
          <w:rFonts w:ascii="Calibri" w:cs="Calibri" w:eastAsia="Calibri" w:hAnsi="Calibri"/>
          <w:b w:val="false"/>
          <w:bCs w:val="false"/>
          <w:i w:val="false"/>
          <w:iCs w:val="false"/>
          <w:sz w:val="22"/>
          <w:szCs w:val="22"/>
        </w:rPr>
        <w:t xml:space="preserve">Een definitief transitieoverzicht wordt verstuurd op basis van een salarisgegeven dat drie maanden verouderd is, doordat een salarisverhoging niet tijdig is doorgegeven aan de uitvoerder (vergelijk de mutatiestroom uit deel 9).</w:t>
      </w:r>
    </w:p>
    <w:p>
      <w:pPr>
        <w:spacing w:after="140" w:line="300"/>
      </w:pPr>
      <w:r>
        <w:rPr>
          <w:rFonts w:ascii="Calibri" w:cs="Calibri" w:eastAsia="Calibri" w:hAnsi="Calibri"/>
          <w:b w:val="false"/>
          <w:bCs w:val="false"/>
          <w:i w:val="false"/>
          <w:iCs w:val="false"/>
          <w:sz w:val="22"/>
          <w:szCs w:val="22"/>
        </w:rPr>
        <w:t xml:space="preserve">a. Wat is het gevolg voor de communicatie naar deze deelnemer?</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Welk eerder deel behandelde de onderliggende oorzaak van dit soort fouten?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Wie is uiteindelijk verantwoordelijk voor de juistheid van de brongegevens?</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Het transitieoverzicht toont een onjuist beeld, wat later moet worden gecorrigeerd — een correctie die het vertrouwen van de deelnemer in de hele transitie kan schaden, ook al is de kern van de operatie inhoudelijk correct.</w:t>
      </w:r>
    </w:p>
    <w:p>
      <w:pPr>
        <w:spacing w:after="140" w:line="300"/>
      </w:pPr>
      <w:r>
        <w:rPr>
          <w:rFonts w:ascii="Calibri" w:cs="Calibri" w:eastAsia="Calibri" w:hAnsi="Calibri"/>
          <w:b w:val="false"/>
          <w:bCs w:val="false"/>
          <w:i w:val="false"/>
          <w:iCs w:val="false"/>
          <w:sz w:val="22"/>
          <w:szCs w:val="22"/>
        </w:rPr>
        <w:t xml:space="preserve">b. Deel 9 (de mutatiestroom als bron van pensioenfouten) en deel 14 (de inventarisatiefase als startpunt van datakwaliteit).</w:t>
      </w:r>
    </w:p>
    <w:p>
      <w:pPr>
        <w:spacing w:after="140" w:line="300"/>
      </w:pPr>
      <w:r>
        <w:rPr>
          <w:rFonts w:ascii="Calibri" w:cs="Calibri" w:eastAsia="Calibri" w:hAnsi="Calibri"/>
          <w:b w:val="false"/>
          <w:bCs w:val="false"/>
          <w:i w:val="false"/>
          <w:iCs w:val="false"/>
          <w:sz w:val="22"/>
          <w:szCs w:val="22"/>
        </w:rPr>
        <w:t xml:space="preserve">c. De werkgever is verantwoordelijk voor tijdige en juiste aanlevering van mutaties; de uitvoerder is verantwoordelijk voor correcte verwerking daarvan en, blijkens paragraaf 17.3, voor het onderbouwen in het communicatieplan dat de datakwaliteit toereikend is voor correcte communicatie. Beide partijen dragen dus een eigen deel van de verantwoordelijkheid — dit is geen kwestie die bij één partij alleen kan worden neergelegd.</w:t>
      </w:r>
    </w:p>
    <w:p>
      <w:pPr>
        <w:spacing w:after="100"/>
      </w:pPr>
    </w:p>
    <w:p>
      <w:pPr>
        <w:pStyle w:val="Heading2"/>
        <w:spacing w:after="120" w:before="200"/>
      </w:pPr>
      <w:r>
        <w:rPr>
          <w:rFonts w:ascii="Georgia" w:cs="Georgia" w:eastAsia="Georgia" w:hAnsi="Georgia"/>
          <w:b/>
          <w:bCs/>
          <w:color w:val="2563A8"/>
          <w:sz w:val="28"/>
          <w:szCs w:val="28"/>
        </w:rPr>
        <w:t xml:space="preserve">Opdracht 17.8 — Het complete communicatiebeleid voor Van Doorn</w:t>
      </w:r>
    </w:p>
    <w:p>
      <w:pPr>
        <w:spacing w:after="140" w:line="300"/>
      </w:pPr>
      <w:r>
        <w:rPr>
          <w:rFonts w:ascii="Calibri" w:cs="Calibri" w:eastAsia="Calibri" w:hAnsi="Calibri"/>
          <w:b w:val="false"/>
          <w:bCs w:val="false"/>
          <w:i w:val="false"/>
          <w:iCs w:val="false"/>
          <w:sz w:val="22"/>
          <w:szCs w:val="22"/>
        </w:rPr>
        <w:t xml:space="preserve">Stel, voortbouwend op paragraaf 17.8 van de reader en op je eerdere werk in deel 15 (opdracht 15.7), een compleet communicatiebeleid op van maximaal één A4: vier doelgroepen, per groep de kernboodschap van laag 1, het gekozen kanaal, en een expliciete paragraaf over hoe de datakwaliteit vooraf wordt gecontroleerd.</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Beoordelingscriteria: alle vier doelgroepen uit paragraaf 17.8 zijn vertegenwoordigd; groep 4 (Karel) krijgt een persoonlijk kanaal, geen standaardbrief; de datakwaliteitsparagraaf verwijst expliciet terug naar de inventarisatiefase uit deel 14; en nergens in het document staat een boodschap die “gemiddeld genomen” als geruststelling gebruikt. Dit document, samen met de beslisnotitie uit deel 15, vormt een steeds vollediger wordend transitiedossier dat richting deel 21 verder wordt opgebouwd.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2026-08-17T11:22:45.344Z</dcterms:created>
  <dcterms:modified xsi:type="dcterms:W3CDTF">2026-08-17T11:22:45.344Z</dcterms:modified>
</cp:coreProperties>
</file>

<file path=docProps/custom.xml><?xml version="1.0" encoding="utf-8"?>
<Properties xmlns="http://schemas.openxmlformats.org/officeDocument/2006/custom-properties" xmlns:vt="http://schemas.openxmlformats.org/officeDocument/2006/docPropsVTypes"/>
</file>