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Docentenhandleiding — Deel 18 — Docentenhandleiding</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18 — Docentenhandleiding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Eén dagdeel (3 uur inclusief pauze)</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Doel van dit dagdeel</w:t>
      </w:r>
    </w:p>
    <w:p>
      <w:pPr>
        <w:spacing w:after="140" w:line="300"/>
      </w:pPr>
      <w:r>
        <w:rPr>
          <w:rFonts w:ascii="Calibri" w:cs="Calibri" w:eastAsia="Calibri" w:hAnsi="Calibri"/>
          <w:b w:val="false"/>
          <w:bCs w:val="false"/>
          <w:i w:val="false"/>
          <w:iCs w:val="false"/>
          <w:sz w:val="22"/>
          <w:szCs w:val="22"/>
        </w:rPr>
        <w:t xml:space="preserve">Dit deel geeft een juridisch fundament aan een vraag die al sinds deel 17 openstond. Twee dingen moeten landen:</w:t>
      </w:r>
    </w:p>
    <w:p>
      <w:pPr>
        <w:pStyle w:val="ListParagraph"/>
        <w:numPr>
          <w:ilvl w:val="0"/>
          <w:numId w:val="1"/>
        </w:numPr>
        <w:spacing w:after="80"/>
      </w:pPr>
      <w:r>
        <w:rPr>
          <w:rFonts w:ascii="Calibri" w:cs="Calibri" w:eastAsia="Calibri" w:hAnsi="Calibri"/>
          <w:sz w:val="22"/>
          <w:szCs w:val="22"/>
        </w:rPr>
        <w:t xml:space="preserve">1. Adviseren en bemiddelen zijn vergunningplichtige activiteiten met een precieze wettelijke definitie — geen grijs gebied dat “meestal wel goed komt”.</w:t>
      </w:r>
    </w:p>
    <w:p>
      <w:pPr>
        <w:pStyle w:val="ListParagraph"/>
        <w:numPr>
          <w:ilvl w:val="0"/>
          <w:numId w:val="1"/>
        </w:numPr>
        <w:spacing w:after="80"/>
      </w:pPr>
      <w:r>
        <w:rPr>
          <w:rFonts w:ascii="Calibri" w:cs="Calibri" w:eastAsia="Calibri" w:hAnsi="Calibri"/>
          <w:sz w:val="22"/>
          <w:szCs w:val="22"/>
        </w:rPr>
        <w:t xml:space="preserve">2. De Wft-zorgplicht is een vloer, geen plafond. Voldoen aan de wet vrijwaart niet automatisch van civielrechtelijke aansprakelijkheid.</w:t>
      </w:r>
    </w:p>
    <w:p>
      <w:pPr>
        <w:spacing w:after="100"/>
      </w:pPr>
    </w:p>
    <w:p>
      <w:pPr>
        <w:pStyle w:val="Heading2"/>
        <w:spacing w:after="120" w:before="200"/>
      </w:pPr>
      <w:r>
        <w:rPr>
          <w:rFonts w:ascii="Georgia" w:cs="Georgia" w:eastAsia="Georgia" w:hAnsi="Georgia"/>
          <w:b/>
          <w:bCs/>
          <w:color w:val="2563A8"/>
          <w:sz w:val="28"/>
          <w:szCs w:val="28"/>
        </w:rPr>
        <w:t xml:space="preserve">Tijdschema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 openstaande vraag uit deel 17</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0:10–0:35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Adviseren en bemiddelen, opdracht 18.1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0:35–1:00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Artikel 4:23 en het klantprofiel, opdracht 18.2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en 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1:00–1:15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1:15–1:40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Wft-zorgplicht versus civiele zorgplicht, opdracht 18.3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1:40–2:00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nazorgplicht, opdracht 18.4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Duo’s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2:00–2:25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grens met keuzebegeleiding, opdracht 18.5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2:25–2:45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Advies tijdens de transitie, opdracht 18.6 en 18.7</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en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Joosts positionering, opdracht 18.8, huiswerk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spacing w:after="100"/>
      </w:pPr>
    </w:p>
    <w:p>
      <w:pPr>
        <w:pStyle w:val="Heading2"/>
        <w:spacing w:after="120" w:before="200"/>
      </w:pPr>
      <w:r>
        <w:rPr>
          <w:rFonts w:ascii="Georgia" w:cs="Georgia" w:eastAsia="Georgia" w:hAnsi="Georgia"/>
          <w:b/>
          <w:bCs/>
          <w:color w:val="2563A8"/>
          <w:sz w:val="28"/>
          <w:szCs w:val="28"/>
        </w:rPr>
        <w:t xml:space="preserve">Aandachtspunten per onderdeel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Openen.</w:t>
      </w:r>
      <w:r>
        <w:rPr>
          <w:rFonts w:ascii="Calibri" w:cs="Calibri" w:eastAsia="Calibri" w:hAnsi="Calibri"/>
          <w:b w:val="false"/>
          <w:bCs w:val="false"/>
          <w:i w:val="false"/>
          <w:iCs w:val="false"/>
          <w:sz w:val="22"/>
          <w:szCs w:val="22"/>
        </w:rPr>
        <w:t xml:space="preserve"> Herhaal de kernzin uit deel 17: “hoe specifieker de hulp, hoe groter de zorgplicht.” Zeg: vandaag geven we die zin een juridisch fundament, met precieze wetsartikelen in plaats van een vuistregel.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Adviseren en bemiddelen.</w:t>
      </w:r>
      <w:r>
        <w:rPr>
          <w:rFonts w:ascii="Calibri" w:cs="Calibri" w:eastAsia="Calibri" w:hAnsi="Calibri"/>
          <w:b w:val="false"/>
          <w:bCs w:val="false"/>
          <w:i w:val="false"/>
          <w:iCs w:val="false"/>
          <w:sz w:val="22"/>
          <w:szCs w:val="22"/>
        </w:rPr>
        <w:t xml:space="preserve"> Werk de twee voorbeelden uit paragraaf 18.3 zorgvuldig uit — het tweede voorbeeld (offertes opvragen en de klant bijstaan) verrast vaak, omdat deelnemers geneigd zijn te denken dat alleen de uiteindelijke aanbeveling “advies” is. Leg uit dat het hele traject, vanaf de inventarisatie, binnen het gereguleerde kader valt.</w:t>
      </w:r>
    </w:p>
    <w:p>
      <w:pPr>
        <w:spacing w:after="140" w:line="300"/>
      </w:pPr>
      <w:r>
        <w:rPr>
          <w:rFonts w:ascii="Calibri" w:cs="Calibri" w:eastAsia="Calibri" w:hAnsi="Calibri"/>
          <w:b w:val="false"/>
          <w:bCs w:val="false"/>
          <w:i w:val="false"/>
          <w:iCs w:val="false"/>
          <w:sz w:val="22"/>
          <w:szCs w:val="22"/>
        </w:rPr>
        <w:t xml:space="preserve">Bij opdracht 18.1b: dit is het contrastgeval. Een algemene presentatie zonder specifieke klant en product blijft erbuiten — gebruik dit om de grens scherp te maken, niet om de indruk te wekken dat er een makkelijke ontsnappingsroute is.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Klantprofiel.</w:t>
      </w:r>
      <w:r>
        <w:rPr>
          <w:rFonts w:ascii="Calibri" w:cs="Calibri" w:eastAsia="Calibri" w:hAnsi="Calibri"/>
          <w:b w:val="false"/>
          <w:bCs w:val="false"/>
          <w:i w:val="false"/>
          <w:iCs w:val="false"/>
          <w:sz w:val="22"/>
          <w:szCs w:val="22"/>
        </w:rPr>
        <w:t xml:space="preserve"> Bij opdracht 18.2: laat deelnemers echt teruggrijpen naar eerdere delen voor concrete gegevens, niet abstract invullen. Dit dwingt herhaling van de hele cursus tot nu toe en laat zien dat het klantprofiel geen apart formulier is maar een samenvatting van wat je als adviseur al die tijd al aan het verzamelen was.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Wft-zorgplicht versus civiele zorgplicht — kern van het dagdeel.</w:t>
      </w:r>
      <w:r>
        <w:rPr>
          <w:rFonts w:ascii="Calibri" w:cs="Calibri" w:eastAsia="Calibri" w:hAnsi="Calibri"/>
          <w:b w:val="false"/>
          <w:bCs w:val="false"/>
          <w:i w:val="false"/>
          <w:iCs w:val="false"/>
          <w:sz w:val="22"/>
          <w:szCs w:val="22"/>
        </w:rPr>
        <w:t xml:space="preserve"> Neem hier de meeste tijd. Het scenario in opdracht 18.3 (correct volgens de letter van de Wft, maar toch een gemist risico) is precies bedoeld om de “vloer, geen plafond”-boodschap te laten landen. Laat de groep eerst zelf beargumenteren of deze adviseur iets fout heeft gedaan — de intuïtie loopt vaak uiteen, en dat is precies waar de discussie waardevol wordt.</w:t>
      </w:r>
    </w:p>
    <w:p>
      <w:pPr>
        <w:spacing w:after="140" w:line="300"/>
      </w:pPr>
      <w:r>
        <w:rPr>
          <w:rFonts w:ascii="Calibri" w:cs="Calibri" w:eastAsia="Calibri" w:hAnsi="Calibri"/>
          <w:b w:val="false"/>
          <w:bCs w:val="false"/>
          <w:i w:val="false"/>
          <w:iCs w:val="false"/>
          <w:sz w:val="22"/>
          <w:szCs w:val="22"/>
        </w:rPr>
        <w:t xml:space="preserve">Schrijf de kernzin groot op de flap:</w:t>
      </w:r>
    </w:p>
    <w:tbl>
      <w:tblPr>
        <w:tblW w:type="pct" w:w="100%"/>
        <w:tblBorders>
          <w:top w:val="single" w:color="F2F2F2" w:sz="2"/>
          <w:left w:val="single" w:color="2563A8"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De Wft-norm is een vloer, geen plafond.</w:t>
            </w:r>
          </w:p>
        </w:tc>
      </w:tr>
    </w:tbl>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Nazorgplicht.</w:t>
      </w:r>
      <w:r>
        <w:rPr>
          <w:rFonts w:ascii="Calibri" w:cs="Calibri" w:eastAsia="Calibri" w:hAnsi="Calibri"/>
          <w:b w:val="false"/>
          <w:bCs w:val="false"/>
          <w:i w:val="false"/>
          <w:iCs w:val="false"/>
          <w:sz w:val="22"/>
          <w:szCs w:val="22"/>
        </w:rPr>
        <w:t xml:space="preserve"> Kort houden, maar laat opdracht 18.4b niet weg — de nuance dat niet elke wijziging gemeld hoeft te worden, maar dat de afweging zelf wel expliciet gemaakt moet worden, is een volwassen punt dat voorkomt dat deelnemers denken dat nazorg oneindige meldplicht betekent.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grens met keuzebegeleiding.</w:t>
      </w:r>
      <w:r>
        <w:rPr>
          <w:rFonts w:ascii="Calibri" w:cs="Calibri" w:eastAsia="Calibri" w:hAnsi="Calibri"/>
          <w:b w:val="false"/>
          <w:bCs w:val="false"/>
          <w:i w:val="false"/>
          <w:iCs w:val="false"/>
          <w:sz w:val="22"/>
          <w:szCs w:val="22"/>
        </w:rPr>
        <w:t xml:space="preserve"> Herhaal de casus uit deel 17 (opdracht 17.5b) en laat nu zien welk concreet wetsartikel er in het geding is. Bij opdracht 18.5: de link tussen “dit is eigenlijk advies” en “en dus vergunningplichtig” moet expliciet worden gemaakt — niet als abstract feit maar als iets met reële toezichtconsequenties voor de uitvoerder.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Advies tijdens de transitie.</w:t>
      </w:r>
      <w:r>
        <w:rPr>
          <w:rFonts w:ascii="Calibri" w:cs="Calibri" w:eastAsia="Calibri" w:hAnsi="Calibri"/>
          <w:b w:val="false"/>
          <w:bCs w:val="false"/>
          <w:i w:val="false"/>
          <w:iCs w:val="false"/>
          <w:sz w:val="22"/>
          <w:szCs w:val="22"/>
        </w:rPr>
        <w:t xml:space="preserve"> Bij opdracht 18.6: waarschuw voor het verkeerde antwoord (“we wachten liever tot alles vaststaat”). Dat lijkt voorzichtig maar is inhoudelijk onjuist én slecht voor de klant, gezien alle tijdsdruk die in deel 5, 7, 14 en 15 is opgebouwd. Het juiste antwoord erkent onzekerheid zonder tot uitstel te leiden.</w:t>
      </w:r>
    </w:p>
    <w:p>
      <w:pPr>
        <w:spacing w:after="140" w:line="300"/>
      </w:pPr>
      <w:r>
        <w:rPr>
          <w:rFonts w:ascii="Calibri" w:cs="Calibri" w:eastAsia="Calibri" w:hAnsi="Calibri"/>
          <w:b w:val="false"/>
          <w:bCs w:val="false"/>
          <w:i w:val="false"/>
          <w:iCs w:val="false"/>
          <w:sz w:val="22"/>
          <w:szCs w:val="22"/>
        </w:rPr>
        <w:t xml:space="preserve">Bij opdracht 18.7: dit is een mooi bruggetje terug naar deel 16 — het individuele bezwaarrecht bij CWO krijgt hier zijn praktische tegenhanger: het recht is inhoudsloos zonder de informatieplicht die het mogelijk maakt.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Afsluiting.</w:t>
      </w:r>
      <w:r>
        <w:rPr>
          <w:rFonts w:ascii="Calibri" w:cs="Calibri" w:eastAsia="Calibri" w:hAnsi="Calibri"/>
          <w:b w:val="false"/>
          <w:bCs w:val="false"/>
          <w:i w:val="false"/>
          <w:iCs w:val="false"/>
          <w:sz w:val="22"/>
          <w:szCs w:val="22"/>
        </w:rPr>
        <w:t xml:space="preserve"> Laat opdracht 18.8 individueel schrijven als synthese-opdracht van het hele dagdeel.</w:t>
      </w:r>
    </w:p>
    <w:p>
      <w:pPr>
        <w:spacing w:after="100"/>
      </w:pPr>
    </w:p>
    <w:p>
      <w:pPr>
        <w:pStyle w:val="Heading2"/>
        <w:spacing w:after="120" w:before="200"/>
      </w:pPr>
      <w:r>
        <w:rPr>
          <w:rFonts w:ascii="Georgia" w:cs="Georgia" w:eastAsia="Georgia" w:hAnsi="Georgia"/>
          <w:b/>
          <w:bCs/>
          <w:color w:val="2563A8"/>
          <w:sz w:val="28"/>
          <w:szCs w:val="28"/>
        </w:rPr>
        <w:t xml:space="preserve">Veelgestelde vragen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“Is een pensioenadviseur bij een verzekeraar in loondienst ook vergunningplichtig?”</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De vergunning wordt op ondernemingsniveau verleend; medewerkers met klantcontact moeten daarnaast voldoen aan vakbekwaamheidseisen, maar handelen dan onder de vergunning van hun werkgever. De onderneming blijft eindverantwoordelijk voor het handelen van haar medewerkers.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als een adviseur zonder vergunning toch pensioenadvies geeft?”</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Dat is een overtreding van de Wft, tenzij strikt aan de vrijstellingsvoorwaarden is voldaan. Behandel dit niet als een randgeval — het is een van de meest actieve aandachtspunten van AFM-toezicht.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“Kan een werkgever zelf, zonder adviseur, een pensioenregeling contracteren?”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Ja, formeel kan dat, maar zonder vergunningplichtig advies loopt de werkgever het risico op een onvolledige afweging — en zonder adviseur draagt hij zelf de volledige verantwoordelijkheid voor de zorgvuldigheid van de keuze richting zijn werknemers.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“Geldt het klantprofiel ook opnieuw bij elke contractvernieuwing?”</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In beginsel wel, of ten minste een actualisatie — de situatie van de werkgever (deel 14, inventarisatiefase) kan sinds de vorige ronde zijn gewijzigd, en een verouderd klantprofiel ondermijnt de basis van het advies.</w:t>
      </w:r>
    </w:p>
    <w:p>
      <w:pPr>
        <w:spacing w:after="100"/>
      </w:pPr>
    </w:p>
    <w:p>
      <w:pPr>
        <w:pStyle w:val="Heading2"/>
        <w:spacing w:after="120" w:before="200"/>
      </w:pPr>
      <w:r>
        <w:rPr>
          <w:rFonts w:ascii="Georgia" w:cs="Georgia" w:eastAsia="Georgia" w:hAnsi="Georgia"/>
          <w:b/>
          <w:bCs/>
          <w:color w:val="2563A8"/>
          <w:sz w:val="28"/>
          <w:szCs w:val="28"/>
        </w:rPr>
        <w:t xml:space="preserve">Voorbereiding en materiaal</w:t>
      </w:r>
    </w:p>
    <w:p>
      <w:pPr>
        <w:pStyle w:val="ListParagraph"/>
        <w:numPr>
          <w:ilvl w:val="0"/>
          <w:numId w:val="1"/>
        </w:numPr>
        <w:spacing w:after="80"/>
      </w:pPr>
      <w:r>
        <w:rPr>
          <w:rFonts w:ascii="Calibri" w:cs="Calibri" w:eastAsia="Calibri" w:hAnsi="Calibri"/>
          <w:sz w:val="22"/>
          <w:szCs w:val="22"/>
        </w:rPr>
        <w:t xml:space="preserve">De kernzin over de Wft-norm als vloer, groot op de flap</w:t>
      </w:r>
    </w:p>
    <w:p>
      <w:pPr>
        <w:pStyle w:val="ListParagraph"/>
        <w:numPr>
          <w:ilvl w:val="0"/>
          <w:numId w:val="1"/>
        </w:numPr>
        <w:spacing w:after="80"/>
      </w:pPr>
      <w:r>
        <w:rPr>
          <w:rFonts w:ascii="Calibri" w:cs="Calibri" w:eastAsia="Calibri" w:hAnsi="Calibri"/>
          <w:sz w:val="22"/>
          <w:szCs w:val="22"/>
        </w:rPr>
        <w:t xml:space="preserve">Een fictief, ingevuld klantprofielformulier als voorbeeld</w:t>
      </w:r>
    </w:p>
    <w:p>
      <w:pPr>
        <w:pStyle w:val="ListParagraph"/>
        <w:numPr>
          <w:ilvl w:val="0"/>
          <w:numId w:val="1"/>
        </w:numPr>
        <w:spacing w:after="80"/>
      </w:pPr>
      <w:r>
        <w:rPr>
          <w:rFonts w:ascii="Calibri" w:cs="Calibri" w:eastAsia="Calibri" w:hAnsi="Calibri"/>
          <w:sz w:val="22"/>
          <w:szCs w:val="22"/>
        </w:rPr>
        <w:t xml:space="preserve">De twee voorbeeldsituaties uit paragraaf 18.3 uitgeprint voor gezamenlijke bespreking</w:t>
      </w:r>
    </w:p>
    <w:p>
      <w:pPr>
        <w:pStyle w:val="ListParagraph"/>
        <w:numPr>
          <w:ilvl w:val="0"/>
          <w:numId w:val="1"/>
        </w:numPr>
        <w:spacing w:after="80"/>
      </w:pPr>
      <w:r>
        <w:rPr>
          <w:rFonts w:ascii="Calibri" w:cs="Calibri" w:eastAsia="Calibri" w:hAnsi="Calibri"/>
          <w:sz w:val="22"/>
          <w:szCs w:val="22"/>
        </w:rPr>
        <w:t xml:space="preserve">Actuele stand van de Vrijstellingsregeling Wft gecontroleerd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Huiswerk:</w:t>
      </w:r>
      <w:r>
        <w:rPr>
          <w:rFonts w:ascii="Calibri" w:cs="Calibri" w:eastAsia="Calibri" w:hAnsi="Calibri"/>
          <w:b w:val="false"/>
          <w:bCs w:val="false"/>
          <w:i w:val="false"/>
          <w:iCs w:val="false"/>
          <w:sz w:val="22"/>
          <w:szCs w:val="22"/>
        </w:rPr>
        <w:t xml:space="preserve"> opdracht 18.8. Kondig deel 19 aan: de zorgplicht en het klantprofiel uit dit deel zijn zo goed als de data waarop zij zijn gebaseerd — deel 19 gaat terug naar de bron, de mutatieketen van werkgever tot uitvoerder.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2026-08-17T11:22:45.464Z</dcterms:created>
  <dcterms:modified xsi:type="dcterms:W3CDTF">2026-08-17T11:22:45.464Z</dcterms:modified>
</cp:coreProperties>
</file>

<file path=docProps/custom.xml><?xml version="1.0" encoding="utf-8"?>
<Properties xmlns="http://schemas.openxmlformats.org/officeDocument/2006/custom-properties" xmlns:vt="http://schemas.openxmlformats.org/officeDocument/2006/docPropsVTypes"/>
</file>