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18 — Zorgplicht, klantprofiel en vergunningen</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18 — Zorgplicht, klantprofiel en vergunningen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18.1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onderscheid tussen adviseren en bemiddelen toepassen, en aangeven wanneer een Wft-vergunning vereist is;</w:t>
      </w:r>
    </w:p>
    <w:p>
      <w:pPr>
        <w:pStyle w:val="ListParagraph"/>
        <w:numPr>
          <w:ilvl w:val="0"/>
          <w:numId w:val="1"/>
        </w:numPr>
        <w:spacing w:after="80"/>
      </w:pPr>
      <w:r>
        <w:rPr>
          <w:rFonts w:ascii="Calibri" w:cs="Calibri" w:eastAsia="Calibri" w:hAnsi="Calibri"/>
          <w:sz w:val="22"/>
          <w:szCs w:val="22"/>
        </w:rPr>
        <w:t xml:space="preserve">2. de kern van artikel 4:23 Wft (ken-uw-klant) toelichten en het klantprofiel opstellen;</w:t>
      </w:r>
    </w:p>
    <w:p>
      <w:pPr>
        <w:pStyle w:val="ListParagraph"/>
        <w:numPr>
          <w:ilvl w:val="0"/>
          <w:numId w:val="1"/>
        </w:numPr>
        <w:spacing w:after="80"/>
      </w:pPr>
      <w:r>
        <w:rPr>
          <w:rFonts w:ascii="Calibri" w:cs="Calibri" w:eastAsia="Calibri" w:hAnsi="Calibri"/>
          <w:sz w:val="22"/>
          <w:szCs w:val="22"/>
        </w:rPr>
        <w:t xml:space="preserve">3. het verschil tussen de Wft-zorgplicht en de civielrechtelijke zorgplicht plaatsen;</w:t>
      </w:r>
    </w:p>
    <w:p>
      <w:pPr>
        <w:pStyle w:val="ListParagraph"/>
        <w:numPr>
          <w:ilvl w:val="0"/>
          <w:numId w:val="1"/>
        </w:numPr>
        <w:spacing w:after="80"/>
      </w:pPr>
      <w:r>
        <w:rPr>
          <w:rFonts w:ascii="Calibri" w:cs="Calibri" w:eastAsia="Calibri" w:hAnsi="Calibri"/>
          <w:sz w:val="22"/>
          <w:szCs w:val="22"/>
        </w:rPr>
        <w:t xml:space="preserve">4. de nazorgplicht beschrijven en toepassen op een lopend adviestraject;</w:t>
      </w:r>
    </w:p>
    <w:p>
      <w:pPr>
        <w:pStyle w:val="ListParagraph"/>
        <w:numPr>
          <w:ilvl w:val="0"/>
          <w:numId w:val="1"/>
        </w:numPr>
        <w:spacing w:after="80"/>
      </w:pPr>
      <w:r>
        <w:rPr>
          <w:rFonts w:ascii="Calibri" w:cs="Calibri" w:eastAsia="Calibri" w:hAnsi="Calibri"/>
          <w:sz w:val="22"/>
          <w:szCs w:val="22"/>
        </w:rPr>
        <w:t xml:space="preserve">5. de grens tussen keuzebegeleiding (deel 17) en vergunningplichtig advies definitief markeren;</w:t>
      </w:r>
    </w:p>
    <w:p>
      <w:pPr>
        <w:pStyle w:val="ListParagraph"/>
        <w:numPr>
          <w:ilvl w:val="0"/>
          <w:numId w:val="1"/>
        </w:numPr>
        <w:spacing w:after="80"/>
      </w:pPr>
      <w:r>
        <w:rPr>
          <w:rFonts w:ascii="Calibri" w:cs="Calibri" w:eastAsia="Calibri" w:hAnsi="Calibri"/>
          <w:sz w:val="22"/>
          <w:szCs w:val="22"/>
        </w:rPr>
        <w:t xml:space="preserve">6. de eigen rol van Joost Meiland in het dossier van Van Doorn Techniek juridisch correct positioneren.</w:t>
      </w:r>
    </w:p>
    <w:p>
      <w:pPr>
        <w:spacing w:after="100"/>
      </w:pPr>
    </w:p>
    <w:p>
      <w:pPr>
        <w:pStyle w:val="Heading2"/>
        <w:spacing w:after="120" w:before="200"/>
      </w:pPr>
      <w:r>
        <w:rPr>
          <w:rFonts w:ascii="Georgia" w:cs="Georgia" w:eastAsia="Georgia" w:hAnsi="Georgia"/>
          <w:b/>
          <w:bCs/>
          <w:color w:val="2563A8"/>
          <w:sz w:val="28"/>
          <w:szCs w:val="28"/>
        </w:rPr>
        <w:t xml:space="preserve">18.2 Waarom dit deel hier staat</w:t>
      </w:r>
    </w:p>
    <w:p>
      <w:pPr>
        <w:spacing w:after="140" w:line="300"/>
      </w:pPr>
      <w:r>
        <w:rPr>
          <w:rFonts w:ascii="Calibri" w:cs="Calibri" w:eastAsia="Calibri" w:hAnsi="Calibri"/>
          <w:b w:val="false"/>
          <w:bCs w:val="false"/>
          <w:i w:val="false"/>
          <w:iCs w:val="false"/>
          <w:sz w:val="22"/>
          <w:szCs w:val="22"/>
        </w:rPr>
        <w:t xml:space="preserve">Deel 17 liet een scherpe, onopgeloste vraag liggen: wanneer schuift keuzebegeleiding door een uitvoerder over in advies? Dit deel geeft het antwoord door het juridische kader zelf te behandelen — het kader waarbinnen niet de uitvoerder, maar de </w:t>
      </w:r>
      <w:r>
        <w:rPr>
          <w:rFonts w:ascii="Calibri" w:cs="Calibri" w:eastAsia="Calibri" w:hAnsi="Calibri"/>
          <w:b/>
          <w:bCs/>
          <w:i w:val="false"/>
          <w:iCs w:val="false"/>
          <w:sz w:val="22"/>
          <w:szCs w:val="22"/>
        </w:rPr>
        <w:t xml:space="preserve">adviseur</w:t>
      </w:r>
      <w:r>
        <w:rPr>
          <w:rFonts w:ascii="Calibri" w:cs="Calibri" w:eastAsia="Calibri" w:hAnsi="Calibri"/>
          <w:b w:val="false"/>
          <w:bCs w:val="false"/>
          <w:i w:val="false"/>
          <w:iCs w:val="false"/>
          <w:sz w:val="22"/>
          <w:szCs w:val="22"/>
        </w:rPr>
        <w:t xml:space="preserve"> van de werkgever opereert. Voor Joost Meiland, die Van Doorn al sinds de contractvernieuwing van deel 14 begeleidt, is dit geen achtergrondinformatie maar de basis van zijn beroepsuitoefening.</w:t>
      </w:r>
    </w:p>
    <w:p>
      <w:pPr>
        <w:spacing w:after="100"/>
      </w:pPr>
    </w:p>
    <w:p>
      <w:pPr>
        <w:pStyle w:val="Heading2"/>
        <w:spacing w:after="120" w:before="200"/>
      </w:pPr>
      <w:r>
        <w:rPr>
          <w:rFonts w:ascii="Georgia" w:cs="Georgia" w:eastAsia="Georgia" w:hAnsi="Georgia"/>
          <w:b/>
          <w:bCs/>
          <w:color w:val="2563A8"/>
          <w:sz w:val="28"/>
          <w:szCs w:val="28"/>
        </w:rPr>
        <w:t xml:space="preserve">18.3 Adviseren en bemiddelen: twee gereguleerde activiteiten</w:t>
      </w:r>
    </w:p>
    <w:p>
      <w:pPr>
        <w:spacing w:after="140" w:line="300"/>
      </w:pPr>
      <w:r>
        <w:rPr>
          <w:rFonts w:ascii="Calibri" w:cs="Calibri" w:eastAsia="Calibri" w:hAnsi="Calibri"/>
          <w:b w:val="false"/>
          <w:bCs w:val="false"/>
          <w:i w:val="false"/>
          <w:iCs w:val="false"/>
          <w:sz w:val="22"/>
          <w:szCs w:val="22"/>
        </w:rPr>
        <w:t xml:space="preserve">&lt;cite index=“110-1”&gt;Volgens de wet is sprake van adviseren wanneer een onderneming een aanbeveling doet voor een specifiek financieel product van een bepaalde aanbieder aan een bepaalde klant.&lt;/cite&gt; &lt;cite index=“110-1”&gt;Het adviseren over financiële producten is alleen toegestaan met een vergunning van de AFM.&lt;/cite&gt;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Twee voorbeelden die het onderscheid scherp maken: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&lt;cite index=“110-1”&gt;Een adviseur die na beoordeling van offertes zijn klant de meest gunstige pensioenverzekering van een bepaalde verzekeraar aanbeveelt&lt;/cite&gt; — dit is adviseren.</w:t>
      </w:r>
    </w:p>
    <w:p>
      <w:pPr>
        <w:pStyle w:val="ListParagraph"/>
        <w:numPr>
          <w:ilvl w:val="0"/>
          <w:numId w:val="1"/>
        </w:numPr>
        <w:spacing w:after="80"/>
      </w:pPr>
      <w:r>
        <w:rPr>
          <w:rFonts w:ascii="Calibri" w:cs="Calibri" w:eastAsia="Calibri" w:hAnsi="Calibri"/>
          <w:sz w:val="22"/>
          <w:szCs w:val="22"/>
        </w:rPr>
        <w:t xml:space="preserve">&lt;cite index=“110-1”&gt;Een adviseur die na inventarisatie van het klantprofiel offertes aanvraagt en de klant bijstaat bij het maken van de juiste keuze&lt;/cite&gt; — ook dit valt onder de gereguleerde dienstverlening.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Bemiddelen</w:t>
      </w:r>
      <w:r>
        <w:rPr>
          <w:rFonts w:ascii="Calibri" w:cs="Calibri" w:eastAsia="Calibri" w:hAnsi="Calibri"/>
          <w:b w:val="false"/>
          <w:bCs w:val="false"/>
          <w:i w:val="false"/>
          <w:iCs w:val="false"/>
          <w:sz w:val="22"/>
          <w:szCs w:val="22"/>
        </w:rPr>
        <w:t xml:space="preserve"> is nauw verwant: &lt;cite index=“109-1”&gt;voor bemiddelen in financiële producten is een vergunning nodig op grond van artikel 2:80, eerste lid, Wft&lt;/cite&gt;, en &lt;cite index=“109-1”&gt;een (collectief) verzekerde pensioenregeling is een levensverzekering en dus een financieel product volgens de Wft.&lt;/cite&gt; Advies over Van Doorns regeling bij Meridiaan valt dus onder beide: het is tegelijk advies én bemiddeling in de zin van de wet.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vergunningplicht is geen formaliteit.</w:t>
      </w:r>
      <w:r>
        <w:rPr>
          <w:rFonts w:ascii="Calibri" w:cs="Calibri" w:eastAsia="Calibri" w:hAnsi="Calibri"/>
          <w:b w:val="false"/>
          <w:bCs w:val="false"/>
          <w:i w:val="false"/>
          <w:iCs w:val="false"/>
          <w:sz w:val="22"/>
          <w:szCs w:val="22"/>
        </w:rPr>
        <w:t xml:space="preserve"> &lt;cite index=“109-1”&gt;De AFM ziet nauwlettend toe op partijen die bemiddelen of adviseren zonder vergunning; wie dit doet, overtreedt mogelijk de Wft.&lt;/cite&gt; Een uitzondering bestaat alleen &lt;cite index=“109-1”&gt;als strikt wordt voldaan aan de voorwaarden van de Vrijstellingsregeling Wft.&lt;/cite&gt; Behandel de vrijstelling nooit als automatisch van toepassing — toets haar net zo zorgvuldig als je in deel 4 de werkingssfeer toetste.</w:t>
      </w:r>
    </w:p>
    <w:p>
      <w:pPr>
        <w:spacing w:after="100"/>
      </w:pPr>
    </w:p>
    <w:p>
      <w:pPr>
        <w:pStyle w:val="Heading2"/>
        <w:spacing w:after="120" w:before="200"/>
      </w:pPr>
      <w:r>
        <w:rPr>
          <w:rFonts w:ascii="Georgia" w:cs="Georgia" w:eastAsia="Georgia" w:hAnsi="Georgia"/>
          <w:b/>
          <w:bCs/>
          <w:color w:val="2563A8"/>
          <w:sz w:val="28"/>
          <w:szCs w:val="28"/>
        </w:rPr>
        <w:t xml:space="preserve">18.4 Artikel 4:23 Wft: ken uw klant</w:t>
      </w:r>
    </w:p>
    <w:p>
      <w:pPr>
        <w:spacing w:after="140" w:line="300"/>
      </w:pPr>
      <w:r>
        <w:rPr>
          <w:rFonts w:ascii="Calibri" w:cs="Calibri" w:eastAsia="Calibri" w:hAnsi="Calibri"/>
          <w:b w:val="false"/>
          <w:bCs w:val="false"/>
          <w:i w:val="false"/>
          <w:iCs w:val="false"/>
          <w:sz w:val="22"/>
          <w:szCs w:val="22"/>
        </w:rPr>
        <w:t xml:space="preserve">De kern van de Wft-zorgplicht bij advies staat in artikel 4:23: &lt;cite index=“107-1”&gt;de financieel dienstverlener moet relevante informatie van de klant inwinnen over diens financiële positie, kennis, ervaring, doelstellingen en risicobereidheid, en daarmee bij zijn advies rekening houden.&lt;/cite&gt;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 wie geldt dit verplicht?</w:t>
      </w:r>
      <w:r>
        <w:rPr>
          <w:rFonts w:ascii="Calibri" w:cs="Calibri" w:eastAsia="Calibri" w:hAnsi="Calibri"/>
          <w:b w:val="false"/>
          <w:bCs w:val="false"/>
          <w:i w:val="false"/>
          <w:iCs w:val="false"/>
          <w:sz w:val="22"/>
          <w:szCs w:val="22"/>
        </w:rPr>
        <w:t xml:space="preserve"> &lt;cite index=“107-1”&gt;De vrijstellingsregeling bepaalt dat dit artikel uitsluitend geldt voor impactvolle en complexe producten — in het zakelijke domein vallen daaronder uitdrukkelijk het tweedepijler-pensioenadvies en het advies over collectieve inkomensverzekeringen zoals WGA-hiaat en WIA-excedent&lt;/cite&gt; (deel 8, de risicodekkingen). Elk advies dat Joost aan Van Doorn geeft over de nieuwe regeling, valt dus onder de volle werking van deze bepaling.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klantprofiel — de praktische vertaling.</w:t>
      </w:r>
      <w:r>
        <w:rPr>
          <w:rFonts w:ascii="Calibri" w:cs="Calibri" w:eastAsia="Calibri" w:hAnsi="Calibri"/>
          <w:b w:val="false"/>
          <w:bCs w:val="false"/>
          <w:i w:val="false"/>
          <w:iCs w:val="false"/>
          <w:sz w:val="22"/>
          <w:szCs w:val="22"/>
        </w:rPr>
        <w:t xml:space="preserve"> &lt;cite index=“110-1”&gt;In de inventarisatiefase wint de adviseur informatie in bij de klant over diens kennis en ervaring, financiële positie, doelstellingen en risicobereidheid — qua diepgang voor zover relevant voor het op te stellen advies. Dit wordt het klantprofiel genoemd, en de adviseur moet aandacht besteden aan de controle op juistheid en volledigheid van de verkregen gegevens.&lt;/cite&gt;</w:t>
      </w:r>
    </w:p>
    <w:p>
      <w:pPr>
        <w:spacing w:after="140" w:line="300"/>
      </w:pPr>
      <w:r>
        <w:rPr>
          <w:rFonts w:ascii="Calibri" w:cs="Calibri" w:eastAsia="Calibri" w:hAnsi="Calibri"/>
          <w:b w:val="false"/>
          <w:bCs w:val="false"/>
          <w:i w:val="false"/>
          <w:iCs w:val="false"/>
          <w:sz w:val="22"/>
          <w:szCs w:val="22"/>
        </w:rPr>
        <w:t xml:space="preserve">Vertaald naar het dossier van Van Doorn: het klantprofiel is niet alleen “wat wil Ferdi” maar een gedocumenteerde inventarisatie — inclusief de doelstellingen ten aanzien van eerbiedigende werking (deel 6), risicobereidheid bij de lifecycle-keuze (deel 12), en de financiële positie die de compensatieruimte (deel 7 en 11) beïnvloedt.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Van klantprofiel naar advies.</w:t>
      </w:r>
      <w:r>
        <w:rPr>
          <w:rFonts w:ascii="Calibri" w:cs="Calibri" w:eastAsia="Calibri" w:hAnsi="Calibri"/>
          <w:b w:val="false"/>
          <w:bCs w:val="false"/>
          <w:i w:val="false"/>
          <w:iCs w:val="false"/>
          <w:sz w:val="22"/>
          <w:szCs w:val="22"/>
        </w:rPr>
        <w:t xml:space="preserve"> &lt;cite index=“110-1”&gt;In de analysefase vertaalt de adviseur het klantprofiel naar een concreet advies&lt;/cite&gt; — dit is precies de stap die in deel 15 werd doorlopen bij het opstellen van de beslisnotitie Route A/B. Die notitie is, formeel bezien, een stuk van het adviesdossier in de zin van de Wft, niet alleen een cursusoefening.</w:t>
      </w:r>
    </w:p>
    <w:p>
      <w:pPr>
        <w:spacing w:after="100"/>
      </w:pPr>
    </w:p>
    <w:p>
      <w:pPr>
        <w:pStyle w:val="Heading2"/>
        <w:spacing w:after="120" w:before="200"/>
      </w:pPr>
      <w:r>
        <w:rPr>
          <w:rFonts w:ascii="Georgia" w:cs="Georgia" w:eastAsia="Georgia" w:hAnsi="Georgia"/>
          <w:b/>
          <w:bCs/>
          <w:color w:val="2563A8"/>
          <w:sz w:val="28"/>
          <w:szCs w:val="28"/>
        </w:rPr>
        <w:t xml:space="preserve">18.5 Wft-zorgplicht en civiele zorgplicht: twee lagen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Wft-zorgplicht</w:t>
      </w:r>
      <w:r>
        <w:rPr>
          <w:rFonts w:ascii="Calibri" w:cs="Calibri" w:eastAsia="Calibri" w:hAnsi="Calibri"/>
          <w:b w:val="false"/>
          <w:bCs w:val="false"/>
          <w:i w:val="false"/>
          <w:iCs w:val="false"/>
          <w:sz w:val="22"/>
          <w:szCs w:val="22"/>
        </w:rPr>
        <w:t xml:space="preserve"> is publiekrechtelijk van aard: zij is vastgelegd in de wet, wordt gehandhaafd door de AFM, en omvat onder meer artikel 4:23 (ken uw klant) en artikel 4:20 Wft — &lt;cite index=“107-1”&gt;de verplichting om vóór de totstandkoming van een financieel product de informatie te verstrekken die de klant nodig heeft om een weloverwogen beslissing te kunnen nemen.&lt;/cite&gt;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civiele zorgplicht</w:t>
      </w:r>
      <w:r>
        <w:rPr>
          <w:rFonts w:ascii="Calibri" w:cs="Calibri" w:eastAsia="Calibri" w:hAnsi="Calibri"/>
          <w:b w:val="false"/>
          <w:bCs w:val="false"/>
          <w:i w:val="false"/>
          <w:iCs w:val="false"/>
          <w:sz w:val="22"/>
          <w:szCs w:val="22"/>
        </w:rPr>
        <w:t xml:space="preserve"> bestaat daarnaast, los van de Wft: &lt;cite index=“112-1”&gt;de dienstverlener moet zich richting klanten zorgvuldig gedragen zoals van een redelijk bekwaam en redelijk handelend beroepsgenoot mag worden verwacht.&lt;/cite&gt; &lt;cite index=“112-1”&gt;Deze norm wordt verder ingevuld door de civiele rechter en door het Kifid&lt;/cite&gt; (deel 20) via jurisprudentie en uitspraken, niet door een uitputtende wettekst.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het onderscheid ertoe doet.</w:t>
      </w:r>
      <w:r>
        <w:rPr>
          <w:rFonts w:ascii="Calibri" w:cs="Calibri" w:eastAsia="Calibri" w:hAnsi="Calibri"/>
          <w:b w:val="false"/>
          <w:bCs w:val="false"/>
          <w:i w:val="false"/>
          <w:iCs w:val="false"/>
          <w:sz w:val="22"/>
          <w:szCs w:val="22"/>
        </w:rPr>
        <w:t xml:space="preserve"> De Wft-zorgplicht is een minimumnorm met een expliciete, toetsbare inhoud. De civiele zorgplicht kan daar bovenop nog verder gaan, afhankelijk van de omstandigheden van het geval — een adviseur die precies aan de letter van de Wft voldoet, kan nog altijd civielrechtelijk aansprakelijk worden gehouden als zijn handelen niet overeenkomt met wat van een redelijk bekwame vakgenoot mocht worden verwacht. </w:t>
      </w:r>
      <w:r>
        <w:rPr>
          <w:rFonts w:ascii="Calibri" w:cs="Calibri" w:eastAsia="Calibri" w:hAnsi="Calibri"/>
          <w:b/>
          <w:bCs/>
          <w:i w:val="false"/>
          <w:iCs w:val="false"/>
          <w:sz w:val="22"/>
          <w:szCs w:val="22"/>
        </w:rPr>
        <w:t xml:space="preserve">De Wft-norm is een vloer, geen plafond.</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18.6 De nazorgplicht</w:t>
      </w:r>
    </w:p>
    <w:p>
      <w:pPr>
        <w:spacing w:after="140" w:line="300"/>
      </w:pPr>
      <w:r>
        <w:rPr>
          <w:rFonts w:ascii="Calibri" w:cs="Calibri" w:eastAsia="Calibri" w:hAnsi="Calibri"/>
          <w:b w:val="false"/>
          <w:bCs w:val="false"/>
          <w:i w:val="false"/>
          <w:iCs w:val="false"/>
          <w:sz w:val="22"/>
          <w:szCs w:val="22"/>
        </w:rPr>
        <w:t xml:space="preserve">De zorgplicht eindigt niet bij ondertekening van het advies of het contract. &lt;cite index=“112-1”&gt;De financieel dienstverlener moet tijdens de looptijd van het financieel product klanten informeren over wezenlijke wijzigingen in essentiële productinformatie.&lt;/cite&gt;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Toepassing op het dossier van Van Doorn.</w:t>
      </w:r>
      <w:r>
        <w:rPr>
          <w:rFonts w:ascii="Calibri" w:cs="Calibri" w:eastAsia="Calibri" w:hAnsi="Calibri"/>
          <w:b w:val="false"/>
          <w:bCs w:val="false"/>
          <w:i w:val="false"/>
          <w:iCs w:val="false"/>
          <w:sz w:val="22"/>
          <w:szCs w:val="22"/>
        </w:rPr>
        <w:t xml:space="preserve"> Stel dat na de transitie de fiscale premiegrens wijzigt (deel 11), of dat de wettelijke transitiedata opnieuw verschuiven (deel 15) — dan is dit niet louter interessant nieuws maar, afhankelijk van de relevantie voor het lopende contract, mogelijk een onderwerp waarover Joost zijn klant actief moet informeren. De nazorgplicht is de reden dat een adviseur een dossier niet kan “afsluiten” op de dag van ondertekening.</w:t>
      </w:r>
    </w:p>
    <w:p>
      <w:pPr>
        <w:spacing w:after="100"/>
      </w:pPr>
    </w:p>
    <w:p>
      <w:pPr>
        <w:pStyle w:val="Heading2"/>
        <w:spacing w:after="120" w:before="200"/>
      </w:pPr>
      <w:r>
        <w:rPr>
          <w:rFonts w:ascii="Georgia" w:cs="Georgia" w:eastAsia="Georgia" w:hAnsi="Georgia"/>
          <w:b/>
          <w:bCs/>
          <w:color w:val="2563A8"/>
          <w:sz w:val="28"/>
          <w:szCs w:val="28"/>
        </w:rPr>
        <w:t xml:space="preserve">18.7 De grens met keuzebegeleiding, definitief gemarkeerd</w:t>
      </w:r>
    </w:p>
    <w:p>
      <w:pPr>
        <w:spacing w:after="140" w:line="300"/>
      </w:pPr>
      <w:r>
        <w:rPr>
          <w:rFonts w:ascii="Calibri" w:cs="Calibri" w:eastAsia="Calibri" w:hAnsi="Calibri"/>
          <w:b w:val="false"/>
          <w:bCs w:val="false"/>
          <w:i w:val="false"/>
          <w:iCs w:val="false"/>
          <w:sz w:val="22"/>
          <w:szCs w:val="22"/>
        </w:rPr>
        <w:t xml:space="preserve">Terug naar de kernzin uit deel 17: </w:t>
      </w:r>
      <w:r>
        <w:rPr>
          <w:rFonts w:ascii="Calibri" w:cs="Calibri" w:eastAsia="Calibri" w:hAnsi="Calibri"/>
          <w:b/>
          <w:bCs/>
          <w:i w:val="false"/>
          <w:iCs w:val="false"/>
          <w:sz w:val="22"/>
          <w:szCs w:val="22"/>
        </w:rPr>
        <w:t xml:space="preserve">hoe specifieker de hulp, hoe groter de zorgplicht die daarbij hoort.</w:t>
      </w:r>
      <w:r>
        <w:rPr>
          <w:rFonts w:ascii="Calibri" w:cs="Calibri" w:eastAsia="Calibri" w:hAnsi="Calibri"/>
          <w:b w:val="false"/>
          <w:bCs w:val="false"/>
          <w:i w:val="false"/>
          <w:iCs w:val="false"/>
          <w:sz w:val="22"/>
          <w:szCs w:val="22"/>
        </w:rPr>
        <w:t xml:space="preserve"> Dit deel geeft die zin een juridisch fundament.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Keuzebegeleiding (uitvoerder)</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Advies (Wft-vergunninghouder)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Wettelijke basis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Artikel 48a Pensioenwet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Artikel 4:23 en 2:80 Wft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Adequate begeleiding, geen persoonlijke aanbeveling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Aanbeveling van een specifiek product aan een specifieke klant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Vergunning nodig?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eigen norm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Toezichthouder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AFM, binnen het pensioenkader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AFM, binnen het Wft-kader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Voorbeeld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“Zo werkt een vaste versus variabele uitkering”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“Ik adviseer u de vaste uitkering te kiezen”</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 Joost Meiland betekent dit concreet:</w:t>
      </w:r>
      <w:r>
        <w:rPr>
          <w:rFonts w:ascii="Calibri" w:cs="Calibri" w:eastAsia="Calibri" w:hAnsi="Calibri"/>
          <w:b w:val="false"/>
          <w:bCs w:val="false"/>
          <w:i w:val="false"/>
          <w:iCs w:val="false"/>
          <w:sz w:val="22"/>
          <w:szCs w:val="22"/>
        </w:rPr>
        <w:t xml:space="preserve"> wanneer hij Van Doorn adviseert over de regelingskeuze (Route A/B, deel 14 en 15), opereert hij volledig binnen het Wft-kader — met klantprofiel, informatieplicht en volle zorgplicht. Adviseert hij daarnaast, op verzoek van Ferdi, ook individuele medewerkers zoals Karel over hun persoonlijke pensioendatumkeuze (deel 13), dan moet hij zich afvragen of dát nog steeds binnen zijn opdracht en vergunning valt, of dat hij daarmee een aparte, individuele adviesrelatie aangaat die apart moet worden vastgelegd.</w:t>
      </w:r>
    </w:p>
    <w:p>
      <w:pPr>
        <w:spacing w:after="100"/>
      </w:pPr>
    </w:p>
    <w:p>
      <w:pPr>
        <w:pStyle w:val="Heading2"/>
        <w:spacing w:after="120" w:before="200"/>
      </w:pPr>
      <w:r>
        <w:rPr>
          <w:rFonts w:ascii="Georgia" w:cs="Georgia" w:eastAsia="Georgia" w:hAnsi="Georgia"/>
          <w:b/>
          <w:bCs/>
          <w:color w:val="2563A8"/>
          <w:sz w:val="28"/>
          <w:szCs w:val="28"/>
        </w:rPr>
        <w:t xml:space="preserve">18.8 Pensioenadvies tijdens de transitieperiode</w:t>
      </w:r>
    </w:p>
    <w:p>
      <w:pPr>
        <w:spacing w:after="140" w:line="300"/>
      </w:pPr>
      <w:r>
        <w:rPr>
          <w:rFonts w:ascii="Calibri" w:cs="Calibri" w:eastAsia="Calibri" w:hAnsi="Calibri"/>
          <w:b w:val="false"/>
          <w:bCs w:val="false"/>
          <w:i w:val="false"/>
          <w:iCs w:val="false"/>
          <w:sz w:val="22"/>
          <w:szCs w:val="22"/>
        </w:rPr>
        <w:t xml:space="preserve">Een actueel aandachtspunt: kan een adviseur tijdens de lopende Wtp-transitie nog volwaardig maatwerkadvies geven, gezien de onzekerheden die in deel 15 en 16 al aan de orde kwamen (wijzigende data, nog niet vaststaande productdetails)? &lt;cite index=“106-1”&gt;Het antwoord is bevestigend: maatwerkadvies op basis van artikel 4:23 Wft blijft ook tijdens de transitie mogelijk&lt;/cite&gt; — de onzekerheid ontslaat de adviseur niet van zijn zorgplicht, maar vraagt wel dat hij die onzekerheid expliciet in zijn advies benoemt (exact de “wat weet je niet”-vaardigheid uit de capstone van deel 10).</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rol van de adviseur bij collectieve waardeoverdracht.</w:t>
      </w:r>
      <w:r>
        <w:rPr>
          <w:rFonts w:ascii="Calibri" w:cs="Calibri" w:eastAsia="Calibri" w:hAnsi="Calibri"/>
          <w:b w:val="false"/>
          <w:bCs w:val="false"/>
          <w:i w:val="false"/>
          <w:iCs w:val="false"/>
          <w:sz w:val="22"/>
          <w:szCs w:val="22"/>
        </w:rPr>
        <w:t xml:space="preserve"> &lt;cite index=“106-1”&gt;De pensioenadviseur kan in opdracht van een werkgever activiteiten uitvoeren om een collectieve waardeoverdracht voor diens werknemers mogelijk te maken, waarbij het tijdig informeren van werknemers over de persoonlijke gevolgen — op grond van artikel 83 Pensioenwet — een essentiële activiteit is: de werknemer heeft adequate, gepersonaliseerde informatie nodig om een bewuste keuze voor waardeoverdracht te kunnen maken.&lt;/cite&gt; Dit is een directe praktische toepassing van deel 16 (CWO en het individuele bezwaarrecht) in de rol van de adviseur: het informeren zelf kan tot zijn taak behoren, met de bijbehorende zorgplicht.</w:t>
      </w:r>
    </w:p>
    <w:p>
      <w:pPr>
        <w:spacing w:after="100"/>
      </w:pPr>
    </w:p>
    <w:p>
      <w:pPr>
        <w:pStyle w:val="Heading2"/>
        <w:spacing w:after="120" w:before="200"/>
      </w:pPr>
      <w:r>
        <w:rPr>
          <w:rFonts w:ascii="Georgia" w:cs="Georgia" w:eastAsia="Georgia" w:hAnsi="Georgia"/>
          <w:b/>
          <w:bCs/>
          <w:color w:val="2563A8"/>
          <w:sz w:val="28"/>
          <w:szCs w:val="28"/>
        </w:rPr>
        <w:t xml:space="preserve">18.9 Vakbekwaamheid</w:t>
      </w:r>
    </w:p>
    <w:p>
      <w:pPr>
        <w:spacing w:after="140" w:line="300"/>
      </w:pPr>
      <w:r>
        <w:rPr>
          <w:rFonts w:ascii="Calibri" w:cs="Calibri" w:eastAsia="Calibri" w:hAnsi="Calibri"/>
          <w:b w:val="false"/>
          <w:bCs w:val="false"/>
          <w:i w:val="false"/>
          <w:iCs w:val="false"/>
          <w:sz w:val="22"/>
          <w:szCs w:val="22"/>
        </w:rPr>
        <w:t xml:space="preserve">&lt;cite index=“106-1”&gt;Voor advies en bemiddeling in pensioenverzekeringen in de tweede en derde pijler is een vergunning nodig, en medewerkers die klantcontact hebben moeten voldoen aan vakbekwaamheidseisen.&lt;/cite&gt; Dit is de directe verbinding met de examenpositionering van deze hele cursus (deel 1 en deel 10): de Wft-module Pensioen die deze cursus mede voorbereidt, is niet een losse kwalificatie maar een wettelijke voorwaarde om het werk dat in dit deel wordt beschreven, daadwerkelijk te mogen uitvoeren.</w:t>
      </w:r>
    </w:p>
    <w:p>
      <w:pPr>
        <w:spacing w:after="100"/>
      </w:pPr>
    </w:p>
    <w:p>
      <w:pPr>
        <w:pStyle w:val="Heading2"/>
        <w:spacing w:after="120" w:before="200"/>
      </w:pPr>
      <w:r>
        <w:rPr>
          <w:rFonts w:ascii="Georgia" w:cs="Georgia" w:eastAsia="Georgia" w:hAnsi="Georgia"/>
          <w:b/>
          <w:bCs/>
          <w:color w:val="2563A8"/>
          <w:sz w:val="28"/>
          <w:szCs w:val="28"/>
        </w:rPr>
        <w:t xml:space="preserve">18.10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Adviseren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Aanbeveling van een specifiek financieel product aan een specifieke klant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Bemiddelen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Tot stand brengen van een financieel product tussen klant en aanbieder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Klantprofiel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Vastgelegde inventarisatie van kennis, ervaring, financiële positie, doelstellingen, risicobereidheid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Wft-zorgplicht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Publiekrechtelijke zorgplicht, vastgelegd in de wet en gehandhaafd door de AFM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Civiele zorgplicht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Zorgvuldigheidsnorm van de redelijk bekwame vakgenoot, ingevuld door rechter en Kifid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Nazorgplicht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Verplichting om tijdens de looptijd te informeren over wezenlijke wijzigingen</w:t>
            </w:r>
          </w:p>
        </w:tc>
      </w:tr>
    </w:tbl>
    <w:p>
      <w:pPr>
        <w:spacing w:after="100"/>
      </w:pPr>
    </w:p>
    <w:p>
      <w:pPr>
        <w:pStyle w:val="Heading2"/>
        <w:spacing w:after="120" w:before="200"/>
      </w:pPr>
      <w:r>
        <w:rPr>
          <w:rFonts w:ascii="Georgia" w:cs="Georgia" w:eastAsia="Georgia" w:hAnsi="Georgia"/>
          <w:b/>
          <w:bCs/>
          <w:color w:val="2563A8"/>
          <w:sz w:val="28"/>
          <w:szCs w:val="28"/>
        </w:rPr>
        <w:t xml:space="preserve">18.11 Samenvatting</w:t>
      </w:r>
    </w:p>
    <w:p>
      <w:pPr>
        <w:pStyle w:val="ListParagraph"/>
        <w:numPr>
          <w:ilvl w:val="0"/>
          <w:numId w:val="1"/>
        </w:numPr>
        <w:spacing w:after="80"/>
      </w:pPr>
      <w:r>
        <w:rPr>
          <w:rFonts w:ascii="Calibri" w:cs="Calibri" w:eastAsia="Calibri" w:hAnsi="Calibri"/>
          <w:sz w:val="22"/>
          <w:szCs w:val="22"/>
        </w:rPr>
        <w:t xml:space="preserve">Adviseren en bemiddelen in pensioenverzekeringen zijn vergunningplichtige activiteiten onder de Wft; een collectief verzekerde regeling is een financieel product.</w:t>
      </w:r>
    </w:p>
    <w:p>
      <w:pPr>
        <w:pStyle w:val="ListParagraph"/>
        <w:numPr>
          <w:ilvl w:val="0"/>
          <w:numId w:val="1"/>
        </w:numPr>
        <w:spacing w:after="80"/>
      </w:pPr>
      <w:r>
        <w:rPr>
          <w:rFonts w:ascii="Calibri" w:cs="Calibri" w:eastAsia="Calibri" w:hAnsi="Calibri"/>
          <w:sz w:val="22"/>
          <w:szCs w:val="22"/>
        </w:rPr>
        <w:t xml:space="preserve">Artikel 4:23 Wft verplicht tot een klantprofiel: kennis, ervaring, financiële positie, doelstellingen, risicobereidheid — verplicht voor tweedepijler-pensioenadvies.</w:t>
      </w:r>
    </w:p>
    <w:p>
      <w:pPr>
        <w:pStyle w:val="ListParagraph"/>
        <w:numPr>
          <w:ilvl w:val="0"/>
          <w:numId w:val="1"/>
        </w:numPr>
        <w:spacing w:after="80"/>
      </w:pPr>
      <w:r>
        <w:rPr>
          <w:rFonts w:ascii="Calibri" w:cs="Calibri" w:eastAsia="Calibri" w:hAnsi="Calibri"/>
          <w:sz w:val="22"/>
          <w:szCs w:val="22"/>
        </w:rPr>
        <w:t xml:space="preserve">De civiele zorgplicht bestaat naast de Wft-zorgplicht en kan verder reiken; de Wft-norm is een vloer, geen plafond.</w:t>
      </w:r>
    </w:p>
    <w:p>
      <w:pPr>
        <w:pStyle w:val="ListParagraph"/>
        <w:numPr>
          <w:ilvl w:val="0"/>
          <w:numId w:val="1"/>
        </w:numPr>
        <w:spacing w:after="80"/>
      </w:pPr>
      <w:r>
        <w:rPr>
          <w:rFonts w:ascii="Calibri" w:cs="Calibri" w:eastAsia="Calibri" w:hAnsi="Calibri"/>
          <w:sz w:val="22"/>
          <w:szCs w:val="22"/>
        </w:rPr>
        <w:t xml:space="preserve">De nazorgplicht loopt door tijdens de hele looptijd van het product.</w:t>
      </w:r>
    </w:p>
    <w:p>
      <w:pPr>
        <w:pStyle w:val="ListParagraph"/>
        <w:numPr>
          <w:ilvl w:val="0"/>
          <w:numId w:val="1"/>
        </w:numPr>
        <w:spacing w:after="80"/>
      </w:pPr>
      <w:r>
        <w:rPr>
          <w:rFonts w:ascii="Calibri" w:cs="Calibri" w:eastAsia="Calibri" w:hAnsi="Calibri"/>
          <w:sz w:val="22"/>
          <w:szCs w:val="22"/>
        </w:rPr>
        <w:t xml:space="preserve">De grens tussen keuzebegeleiding en advies wordt bepaald door specificiteit: een concrete, persoonlijke aanbeveling is advies en vraagt een vergunning.</w:t>
      </w:r>
    </w:p>
    <w:p>
      <w:pPr>
        <w:pStyle w:val="ListParagraph"/>
        <w:numPr>
          <w:ilvl w:val="0"/>
          <w:numId w:val="1"/>
        </w:numPr>
        <w:spacing w:after="80"/>
      </w:pPr>
      <w:r>
        <w:rPr>
          <w:rFonts w:ascii="Calibri" w:cs="Calibri" w:eastAsia="Calibri" w:hAnsi="Calibri"/>
          <w:sz w:val="22"/>
          <w:szCs w:val="22"/>
        </w:rPr>
        <w:t xml:space="preserve">Maatwerkadvies blijft mogelijk tijdens de transitieperiode, mits de onzekerheden expliciet worden benoemd; de rol van de adviseur bij collectieve waardeoverdracht is wettelijk verankerd via artikel 83 Pensioenwet.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19.</w:t>
      </w:r>
      <w:r>
        <w:rPr>
          <w:rFonts w:ascii="Calibri" w:cs="Calibri" w:eastAsia="Calibri" w:hAnsi="Calibri"/>
          <w:b w:val="false"/>
          <w:bCs w:val="false"/>
          <w:i w:val="false"/>
          <w:iCs w:val="false"/>
          <w:sz w:val="22"/>
          <w:szCs w:val="22"/>
        </w:rPr>
        <w:t xml:space="preserve"> De zorgplicht uit dit deel is zo goed als de informatie waarop zij is gebaseerd. Deel 19 gaat terug naar de bron: data en mutatieprocessen, de keten van werkgever tot uitvoerder waarlangs elk cijfer in dit dossier — premie, dekking, compensatie — uiteindelijk tot stand komt.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2026-08-17T11:22:45.406Z</dcterms:created>
  <dcterms:modified xsi:type="dcterms:W3CDTF">2026-08-17T11:22:45.406Z</dcterms:modified>
</cp:coreProperties>
</file>

<file path=docProps/custom.xml><?xml version="1.0" encoding="utf-8"?>
<Properties xmlns="http://schemas.openxmlformats.org/officeDocument/2006/custom-properties" xmlns:vt="http://schemas.openxmlformats.org/officeDocument/2006/docPropsVTypes"/>
</file>