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18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18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18.1 — Adviseren of niet?</w:t>
      </w:r>
    </w:p>
    <w:p>
      <w:pPr>
        <w:spacing w:after="140" w:line="300"/>
      </w:pPr>
      <w:r>
        <w:rPr>
          <w:rFonts w:ascii="Calibri" w:cs="Calibri" w:eastAsia="Calibri" w:hAnsi="Calibri"/>
          <w:b w:val="false"/>
          <w:bCs w:val="false"/>
          <w:i w:val="false"/>
          <w:iCs w:val="false"/>
          <w:sz w:val="22"/>
          <w:szCs w:val="22"/>
        </w:rPr>
        <w:t xml:space="preserve">Beoordeel per situatie of er sprake is van vergunningplichtig adviseren.</w:t>
      </w:r>
    </w:p>
    <w:p>
      <w:pPr>
        <w:spacing w:after="140" w:line="300"/>
      </w:pPr>
      <w:r>
        <w:rPr>
          <w:rFonts w:ascii="Calibri" w:cs="Calibri" w:eastAsia="Calibri" w:hAnsi="Calibri"/>
          <w:b w:val="false"/>
          <w:bCs w:val="false"/>
          <w:i w:val="false"/>
          <w:iCs w:val="false"/>
          <w:sz w:val="22"/>
          <w:szCs w:val="22"/>
        </w:rPr>
        <w:t xml:space="preserve">a. Een adviseur vergelijkt drie offertes en zegt tegen Van Doorn: “Op basis van uw situatie raad ik Meridiaan 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adviseur geeft een algemene presentatie aan een groep werkgevers over de Wtp-transitie, zonder een specifieke klant of product te noemen.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adviseur helpt Van Doorn het klantprofiel invullen en vraagt vervolgens offertes op bij twee uitvoerders.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adviseren — een specifieke aanbeveling aan een specifieke klant. b: geen adviseren in de zin van de Wft — een algemeen advies zonder specifiek product of specifieke klant valt hierbuiten. c: adviseren — de inventarisatie en het opvragen van offertes ten behoeve van een specifieke klant is onderdeel van het adviestraject, ook al is de uiteindelijke aanbeveling nog niet gedaan.</w:t>
            </w:r>
          </w:p>
        </w:tc>
      </w:tr>
    </w:tbl>
    <w:p>
      <w:pPr>
        <w:spacing w:after="100"/>
      </w:pPr>
    </w:p>
    <w:p>
      <w:pPr>
        <w:pStyle w:val="Heading2"/>
        <w:spacing w:after="120" w:before="200"/>
      </w:pPr>
      <w:r>
        <w:rPr>
          <w:rFonts w:ascii="Georgia" w:cs="Georgia" w:eastAsia="Georgia" w:hAnsi="Georgia"/>
          <w:b/>
          <w:bCs/>
          <w:color w:val="2563A8"/>
          <w:sz w:val="28"/>
          <w:szCs w:val="28"/>
        </w:rPr>
        <w:t xml:space="preserve">Opdracht 18.2 — Het klantprofiel van Van Doorn</w:t>
      </w:r>
    </w:p>
    <w:p>
      <w:pPr>
        <w:spacing w:after="140" w:line="300"/>
      </w:pPr>
      <w:r>
        <w:rPr>
          <w:rFonts w:ascii="Calibri" w:cs="Calibri" w:eastAsia="Calibri" w:hAnsi="Calibri"/>
          <w:b w:val="false"/>
          <w:bCs w:val="false"/>
          <w:i w:val="false"/>
          <w:iCs w:val="false"/>
          <w:sz w:val="22"/>
          <w:szCs w:val="22"/>
        </w:rPr>
        <w:t xml:space="preserve">Noem voor elk van de vijf elementen van het klantprofiel (kennis, ervaring, financiële positie, doelstellingen, risicobereidheid) één concreet gegeven uit het dossier van Van Doorn Techniek dat je in eerdere delen hebt geleerd, dat in het klantprofiel zou moeten staan.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pStyle w:val="ListParagraph"/>
        <w:numPr>
          <w:ilvl w:val="0"/>
          <w:numId w:val="1"/>
        </w:numPr>
        <w:spacing w:after="80"/>
      </w:pPr>
      <w:r>
        <w:rPr>
          <w:rFonts w:ascii="Calibri" w:cs="Calibri" w:eastAsia="Calibri" w:hAnsi="Calibri"/>
          <w:sz w:val="22"/>
          <w:szCs w:val="22"/>
        </w:rPr>
        <w:t xml:space="preserve">Kennis: Ferdi en Anouk hebben beperkte pensioentechnische kennis (impliciet uit de casus — zij hebben een adviseur nodig); dit bepaalt het niveau waarop Joost moet communiceren.</w:t>
      </w:r>
    </w:p>
    <w:p>
      <w:pPr>
        <w:pStyle w:val="ListParagraph"/>
        <w:numPr>
          <w:ilvl w:val="0"/>
          <w:numId w:val="1"/>
        </w:numPr>
        <w:spacing w:after="80"/>
      </w:pPr>
      <w:r>
        <w:rPr>
          <w:rFonts w:ascii="Calibri" w:cs="Calibri" w:eastAsia="Calibri" w:hAnsi="Calibri"/>
          <w:sz w:val="22"/>
          <w:szCs w:val="22"/>
        </w:rPr>
        <w:t xml:space="preserve">Ervaring: Van Doorn heeft sinds 2016 een lopende regeling bij Meridiaan, dus enige ervaring met een verzekerde regeling, maar geen ervaring met een eerdere stelselwijziging.</w:t>
      </w:r>
    </w:p>
    <w:p>
      <w:pPr>
        <w:pStyle w:val="ListParagraph"/>
        <w:numPr>
          <w:ilvl w:val="0"/>
          <w:numId w:val="1"/>
        </w:numPr>
        <w:spacing w:after="80"/>
      </w:pPr>
      <w:r>
        <w:rPr>
          <w:rFonts w:ascii="Calibri" w:cs="Calibri" w:eastAsia="Calibri" w:hAnsi="Calibri"/>
          <w:sz w:val="22"/>
          <w:szCs w:val="22"/>
        </w:rPr>
        <w:t xml:space="preserve">Financiële positie: de fiscale compensatieruimte uit deel 11, en de vraag of Van Doorn daarnaast eigen middelen kan en wil inzetten voor extra compensatie.</w:t>
      </w:r>
    </w:p>
    <w:p>
      <w:pPr>
        <w:pStyle w:val="ListParagraph"/>
        <w:numPr>
          <w:ilvl w:val="0"/>
          <w:numId w:val="1"/>
        </w:numPr>
        <w:spacing w:after="80"/>
      </w:pPr>
      <w:r>
        <w:rPr>
          <w:rFonts w:ascii="Calibri" w:cs="Calibri" w:eastAsia="Calibri" w:hAnsi="Calibri"/>
          <w:sz w:val="22"/>
          <w:szCs w:val="22"/>
        </w:rPr>
        <w:t xml:space="preserve">Doelstellingen: voorspelbare kosten, tevredenheid van het personeel, mogelijk toekomstige verkoopbaarheid van het bedrijf (deel 6, opdracht 6.6).</w:t>
      </w:r>
    </w:p>
    <w:p>
      <w:pPr>
        <w:pStyle w:val="ListParagraph"/>
        <w:numPr>
          <w:ilvl w:val="0"/>
          <w:numId w:val="1"/>
        </w:numPr>
        <w:spacing w:after="80"/>
      </w:pPr>
      <w:r>
        <w:rPr>
          <w:rFonts w:ascii="Calibri" w:cs="Calibri" w:eastAsia="Calibri" w:hAnsi="Calibri"/>
          <w:sz w:val="22"/>
          <w:szCs w:val="22"/>
        </w:rPr>
        <w:t xml:space="preserve">Risicobereidheid: blijkt uit de reactie op het lifecycle-gesprek (deel 12) en op de keuze rond eerbiedigende werking (deel 6) — een voorkeur voor voorspelbaarheid boven optimalisatie.</w:t>
      </w:r>
    </w:p>
    <w:p>
      <w:pPr>
        <w:spacing w:after="100"/>
      </w:pPr>
    </w:p>
    <w:p>
      <w:pPr>
        <w:pStyle w:val="Heading2"/>
        <w:spacing w:after="120" w:before="200"/>
      </w:pPr>
      <w:r>
        <w:rPr>
          <w:rFonts w:ascii="Georgia" w:cs="Georgia" w:eastAsia="Georgia" w:hAnsi="Georgia"/>
          <w:b/>
          <w:bCs/>
          <w:color w:val="2563A8"/>
          <w:sz w:val="28"/>
          <w:szCs w:val="28"/>
        </w:rPr>
        <w:t xml:space="preserve">Opdracht 18.3 — Wft-zorgplicht versus civiele zorgplicht</w:t>
      </w:r>
    </w:p>
    <w:p>
      <w:pPr>
        <w:spacing w:after="140" w:line="300"/>
      </w:pPr>
      <w:r>
        <w:rPr>
          <w:rFonts w:ascii="Calibri" w:cs="Calibri" w:eastAsia="Calibri" w:hAnsi="Calibri"/>
          <w:b w:val="false"/>
          <w:bCs w:val="false"/>
          <w:i w:val="false"/>
          <w:iCs w:val="false"/>
          <w:sz w:val="22"/>
          <w:szCs w:val="22"/>
        </w:rPr>
        <w:t xml:space="preserve">Een adviseur voldoet exact aan de letter van artikel 4:23 Wft: hij heeft een compleet klantprofiel opgesteld en een advies gegeven dat daarbij aansluit. Achteraf blijkt dat hij een voor de hand liggend risico — bijvoorbeeld het ontbreken van een waarborgbepaling bij overstap (deel 14) — niet heeft benoemd.</w:t>
      </w:r>
    </w:p>
    <w:p>
      <w:pPr>
        <w:spacing w:after="140" w:line="300"/>
      </w:pPr>
      <w:r>
        <w:rPr>
          <w:rFonts w:ascii="Calibri" w:cs="Calibri" w:eastAsia="Calibri" w:hAnsi="Calibri"/>
          <w:b w:val="false"/>
          <w:bCs w:val="false"/>
          <w:i w:val="false"/>
          <w:iCs w:val="false"/>
          <w:sz w:val="22"/>
          <w:szCs w:val="22"/>
        </w:rPr>
        <w:t xml:space="preserve">a. Is deze adviseur automatisch gevrijwaard van aansprakelijkheid omdat hij aan de Wft heeft voldaan?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Welke norm zou hier alsnog kunnen worden toegepast?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Het voldoen aan de Wft-zorgplicht is een minimumnorm, geen garantie tegen aansprakelijkheid.</w:t>
      </w:r>
    </w:p>
    <w:p>
      <w:pPr>
        <w:spacing w:after="140" w:line="300"/>
      </w:pPr>
      <w:r>
        <w:rPr>
          <w:rFonts w:ascii="Calibri" w:cs="Calibri" w:eastAsia="Calibri" w:hAnsi="Calibri"/>
          <w:b w:val="false"/>
          <w:bCs w:val="false"/>
          <w:i w:val="false"/>
          <w:iCs w:val="false"/>
          <w:sz w:val="22"/>
          <w:szCs w:val="22"/>
        </w:rPr>
        <w:t xml:space="preserve">b. De civiele zorgplicht — of een redelijk bekwaam en redelijk handelend beroepsgenoot dit risico had moeten signaleren. Gezien het gewicht dat in deel 14 aan de waarborgbepaling is gegeven, zou een rechter of het Kifid kunnen oordelen dat een vakbekwame adviseur dit punt had moeten benoemen, ongeacht of de Wft daar een specifieke checklist voor voorschrijft.</w:t>
      </w:r>
    </w:p>
    <w:p>
      <w:pPr>
        <w:spacing w:after="100"/>
      </w:pPr>
    </w:p>
    <w:p>
      <w:pPr>
        <w:pStyle w:val="Heading2"/>
        <w:spacing w:after="120" w:before="200"/>
      </w:pPr>
      <w:r>
        <w:rPr>
          <w:rFonts w:ascii="Georgia" w:cs="Georgia" w:eastAsia="Georgia" w:hAnsi="Georgia"/>
          <w:b/>
          <w:bCs/>
          <w:color w:val="2563A8"/>
          <w:sz w:val="28"/>
          <w:szCs w:val="28"/>
        </w:rPr>
        <w:t xml:space="preserve">Opdracht 18.4 — De nazorgplicht toepassen</w:t>
      </w:r>
    </w:p>
    <w:p>
      <w:pPr>
        <w:spacing w:after="140" w:line="300"/>
      </w:pPr>
      <w:r>
        <w:rPr>
          <w:rFonts w:ascii="Calibri" w:cs="Calibri" w:eastAsia="Calibri" w:hAnsi="Calibri"/>
          <w:b w:val="false"/>
          <w:bCs w:val="false"/>
          <w:i w:val="false"/>
          <w:iCs w:val="false"/>
          <w:sz w:val="22"/>
          <w:szCs w:val="22"/>
        </w:rPr>
        <w:t xml:space="preserve">Zes maanden na ondertekening van het nieuwe contract met Meridiaan wijzigt de wettelijke fiscale premiegrens (deel 11) op een manier die relevant is voor Van Doorns regeling.</w:t>
      </w:r>
    </w:p>
    <w:p>
      <w:pPr>
        <w:spacing w:after="140" w:line="300"/>
      </w:pPr>
      <w:r>
        <w:rPr>
          <w:rFonts w:ascii="Calibri" w:cs="Calibri" w:eastAsia="Calibri" w:hAnsi="Calibri"/>
          <w:b w:val="false"/>
          <w:bCs w:val="false"/>
          <w:i w:val="false"/>
          <w:iCs w:val="false"/>
          <w:sz w:val="22"/>
          <w:szCs w:val="22"/>
        </w:rPr>
        <w:t xml:space="preserve">a. Is Joost verplicht Van Doorn hierover te informeren?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als de wijziging geen enkel praktisch gevolg heeft voor Van Doorns regeling?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In beginsel ja, voor zover het een wezenlijke wijziging in essentiële productinformatie betreft die relevant is voor het lopende contract — dat is precies wat de nazorgplicht vereist.</w:t>
      </w:r>
    </w:p>
    <w:p>
      <w:pPr>
        <w:spacing w:after="140" w:line="300"/>
      </w:pPr>
      <w:r>
        <w:rPr>
          <w:rFonts w:ascii="Calibri" w:cs="Calibri" w:eastAsia="Calibri" w:hAnsi="Calibri"/>
          <w:b w:val="false"/>
          <w:bCs w:val="false"/>
          <w:i w:val="false"/>
          <w:iCs w:val="false"/>
          <w:sz w:val="22"/>
          <w:szCs w:val="22"/>
        </w:rPr>
        <w:t xml:space="preserve">b. Als de wijziging aantoonbaar geen praktisch gevolg heeft (bijvoorbeeld omdat Van Doorns premie ruim onder de nieuwe grens blijft), is een uitgebreide melding minder dringend, maar verstandig handelen betekent dat Joost dit expliciet beoordeelt en, bij twijfel, toch informeert — stilzwijgen uit gemakzucht is geen verdedigbare toepassing van de nazorgplicht.</w:t>
      </w:r>
    </w:p>
    <w:p>
      <w:pPr>
        <w:spacing w:after="100"/>
      </w:pPr>
    </w:p>
    <w:p>
      <w:pPr>
        <w:pStyle w:val="Heading2"/>
        <w:spacing w:after="120" w:before="200"/>
      </w:pPr>
      <w:r>
        <w:rPr>
          <w:rFonts w:ascii="Georgia" w:cs="Georgia" w:eastAsia="Georgia" w:hAnsi="Georgia"/>
          <w:b/>
          <w:bCs/>
          <w:color w:val="2563A8"/>
          <w:sz w:val="28"/>
          <w:szCs w:val="28"/>
        </w:rPr>
        <w:t xml:space="preserve">Opdracht 18.5 — Keuzebegeleiding of advies, nu met vergunningsbril</w:t>
      </w:r>
    </w:p>
    <w:p>
      <w:pPr>
        <w:spacing w:after="140" w:line="300"/>
      </w:pPr>
      <w:r>
        <w:rPr>
          <w:rFonts w:ascii="Calibri" w:cs="Calibri" w:eastAsia="Calibri" w:hAnsi="Calibri"/>
          <w:b w:val="false"/>
          <w:bCs w:val="false"/>
          <w:i w:val="false"/>
          <w:iCs w:val="false"/>
          <w:sz w:val="22"/>
          <w:szCs w:val="22"/>
        </w:rPr>
        <w:t xml:space="preserve">Terug naar opdracht 17.5 (situatie b): een medewerker van de uitvoerder zegt tegen een individuele deelnemer: “Ik zou u aanraden voor de vaste uitkering te kiezen.”</w:t>
      </w:r>
    </w:p>
    <w:p>
      <w:pPr>
        <w:spacing w:after="140" w:line="300"/>
      </w:pPr>
      <w:r>
        <w:rPr>
          <w:rFonts w:ascii="Calibri" w:cs="Calibri" w:eastAsia="Calibri" w:hAnsi="Calibri"/>
          <w:b w:val="false"/>
          <w:bCs w:val="false"/>
          <w:i w:val="false"/>
          <w:iCs w:val="false"/>
          <w:sz w:val="22"/>
          <w:szCs w:val="22"/>
        </w:rPr>
        <w:t xml:space="preserve">a. Onder welk regime valt deze uitspraak als zij vergunningplichtig advies zou zijn, en welke vergunning zou daarvoor nodig zijn?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het risico voor de uitvoerder als hij dit zonder de juiste vergunning doet?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Een concrete, persoonlijke aanbeveling over een specifiek product (de uitkeringsvorm) aan een specifieke klant is in de kern een adviesactiviteit in de zin van de Wft en zou, om vergunningplichtig te mogen worden gedaan, een adviesvergunning vereisen naast de rol als pensioenuitvoerder.</w:t>
      </w:r>
    </w:p>
    <w:p>
      <w:pPr>
        <w:spacing w:after="140" w:line="300"/>
      </w:pPr>
      <w:r>
        <w:rPr>
          <w:rFonts w:ascii="Calibri" w:cs="Calibri" w:eastAsia="Calibri" w:hAnsi="Calibri"/>
          <w:b w:val="false"/>
          <w:bCs w:val="false"/>
          <w:i w:val="false"/>
          <w:iCs w:val="false"/>
          <w:sz w:val="22"/>
          <w:szCs w:val="22"/>
        </w:rPr>
        <w:t xml:space="preserve">b. Het risico is een overtreding van de Wft-vergunningplicht, met de bijbehorende toezichtconsequenties van de AFM, los van de vraag of de gegeven aanbeveling inhoudelijk goed was. Dit is precies de reden dat de keuzebegeleidingsnorm uit deel 17 zo zorgvuldig is afgebakend van advies: de uitvoerder mag niet ongemerkt vergunningplichtige activiteiten gaan verrichten onder het mom van keuzebegeleiding.</w:t>
      </w:r>
    </w:p>
    <w:p>
      <w:pPr>
        <w:spacing w:after="100"/>
      </w:pPr>
    </w:p>
    <w:p>
      <w:pPr>
        <w:pStyle w:val="Heading2"/>
        <w:spacing w:after="120" w:before="200"/>
      </w:pPr>
      <w:r>
        <w:rPr>
          <w:rFonts w:ascii="Georgia" w:cs="Georgia" w:eastAsia="Georgia" w:hAnsi="Georgia"/>
          <w:b/>
          <w:bCs/>
          <w:color w:val="2563A8"/>
          <w:sz w:val="28"/>
          <w:szCs w:val="28"/>
        </w:rPr>
        <w:t xml:space="preserve">Opdracht 18.6 — Advies tijdens de transitieperiode</w:t>
      </w:r>
    </w:p>
    <w:p>
      <w:pPr>
        <w:spacing w:after="140" w:line="300"/>
      </w:pPr>
      <w:r>
        <w:rPr>
          <w:rFonts w:ascii="Calibri" w:cs="Calibri" w:eastAsia="Calibri" w:hAnsi="Calibri"/>
          <w:b w:val="false"/>
          <w:bCs w:val="false"/>
          <w:i w:val="false"/>
          <w:iCs w:val="false"/>
          <w:sz w:val="22"/>
          <w:szCs w:val="22"/>
        </w:rPr>
        <w:t xml:space="preserve">Ferdi vraagt Joost: “Kun je mij nu al een definitief advies geven, terwijl de wet nog kan veranderen en Meridiaan zijn productvoorwaarden nog niet volledig heeft vastgesteld?”</w:t>
      </w:r>
    </w:p>
    <w:p>
      <w:pPr>
        <w:spacing w:after="140" w:line="300"/>
      </w:pPr>
      <w:r>
        <w:rPr>
          <w:rFonts w:ascii="Calibri" w:cs="Calibri" w:eastAsia="Calibri" w:hAnsi="Calibri"/>
          <w:b w:val="false"/>
          <w:bCs w:val="false"/>
          <w:i w:val="false"/>
          <w:iCs w:val="false"/>
          <w:sz w:val="22"/>
          <w:szCs w:val="22"/>
        </w:rPr>
        <w:t xml:space="preserve">Formuleer Joosts antwoord in maximaal vier zinnen, gebruikmakend van het inzicht uit paragraaf 18.8.</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 “Ja, dat kan — de wet staat er niet aan in de weg dat ik u nu al een onderbouwd advies geef, ook al staat niet elk detail al vast. Wat ik wél moet doen, is expliciet benoemen welke onderdelen nog kunnen wijzigen en wat we doen als dat gebeurt. Dat is geen zwakte van het advies maar onderdeel van een zorgvuldig advies in deze fase van de transitie.” Beoordelingslijn: het antwoord mag niet suggereren dat wachten tot alles vaststaat de enige verantwoorde optie is — dat zou tegen de kern van 18.8 ingaan en bovendien de tijdsdruk uit deel 5, 7 en 15 negeren.</w:t>
            </w:r>
          </w:p>
        </w:tc>
      </w:tr>
    </w:tbl>
    <w:p>
      <w:pPr>
        <w:spacing w:after="100"/>
      </w:pPr>
    </w:p>
    <w:p>
      <w:pPr>
        <w:pStyle w:val="Heading2"/>
        <w:spacing w:after="120" w:before="200"/>
      </w:pPr>
      <w:r>
        <w:rPr>
          <w:rFonts w:ascii="Georgia" w:cs="Georgia" w:eastAsia="Georgia" w:hAnsi="Georgia"/>
          <w:b/>
          <w:bCs/>
          <w:color w:val="2563A8"/>
          <w:sz w:val="28"/>
          <w:szCs w:val="28"/>
        </w:rPr>
        <w:t xml:space="preserve">Opdracht 18.7 — Artikel 83 Pensioenwet en de rol van de adviseur</w:t>
      </w:r>
    </w:p>
    <w:p>
      <w:pPr>
        <w:spacing w:after="140" w:line="300"/>
      </w:pPr>
      <w:r>
        <w:rPr>
          <w:rFonts w:ascii="Calibri" w:cs="Calibri" w:eastAsia="Calibri" w:hAnsi="Calibri"/>
          <w:b w:val="false"/>
          <w:bCs w:val="false"/>
          <w:i w:val="false"/>
          <w:iCs w:val="false"/>
          <w:sz w:val="22"/>
          <w:szCs w:val="22"/>
        </w:rPr>
        <w:t xml:space="preserve">Delta Chemie (deel 16) overweegt een collectieve waardeoverdracht naar een APF. Het fondsbestuur schakelt een adviseur in om de deelnemers te informeren over de persoonlijke gevolgen.</w:t>
      </w:r>
    </w:p>
    <w:p>
      <w:pPr>
        <w:spacing w:after="140" w:line="300"/>
      </w:pPr>
      <w:r>
        <w:rPr>
          <w:rFonts w:ascii="Calibri" w:cs="Calibri" w:eastAsia="Calibri" w:hAnsi="Calibri"/>
          <w:b w:val="false"/>
          <w:bCs w:val="false"/>
          <w:i w:val="false"/>
          <w:iCs w:val="false"/>
          <w:sz w:val="22"/>
          <w:szCs w:val="22"/>
        </w:rPr>
        <w:t xml:space="preserve">a. Valt dit onder de gewone adviesregels van de Wft, of is er een specifieke wettelijke grondslag?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essentie van deze informatieplicht?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Er is een specifieke grondslag: artikel 83 Pensioenwet, dat naast de algemene Wft-regels van toepassing is op het informeren van werknemers bij een collectieve waardeoverdracht.</w:t>
      </w:r>
    </w:p>
    <w:p>
      <w:pPr>
        <w:spacing w:after="140" w:line="300"/>
      </w:pPr>
      <w:r>
        <w:rPr>
          <w:rFonts w:ascii="Calibri" w:cs="Calibri" w:eastAsia="Calibri" w:hAnsi="Calibri"/>
          <w:b w:val="false"/>
          <w:bCs w:val="false"/>
          <w:i w:val="false"/>
          <w:iCs w:val="false"/>
          <w:sz w:val="22"/>
          <w:szCs w:val="22"/>
        </w:rPr>
        <w:t xml:space="preserve">b. De werknemer heeft adequate, gepersonaliseerde informatie nodig om een bewuste keuze te kunnen maken voor of tegen de waardeoverdracht — een directe koppeling met het individuele bezwaarrecht bij CWO uit deel 16: dat recht is inhoudsloos zonder de informatie om het weloverwogen te kunnen uitoefenen.</w:t>
      </w:r>
    </w:p>
    <w:p>
      <w:pPr>
        <w:spacing w:after="100"/>
      </w:pPr>
    </w:p>
    <w:p>
      <w:pPr>
        <w:pStyle w:val="Heading2"/>
        <w:spacing w:after="120" w:before="200"/>
      </w:pPr>
      <w:r>
        <w:rPr>
          <w:rFonts w:ascii="Georgia" w:cs="Georgia" w:eastAsia="Georgia" w:hAnsi="Georgia"/>
          <w:b/>
          <w:bCs/>
          <w:color w:val="2563A8"/>
          <w:sz w:val="28"/>
          <w:szCs w:val="28"/>
        </w:rPr>
        <w:t xml:space="preserve">Opdracht 18.8 — Joosts positionering, compleet</w:t>
      </w:r>
    </w:p>
    <w:p>
      <w:pPr>
        <w:spacing w:after="140" w:line="300"/>
      </w:pPr>
      <w:r>
        <w:rPr>
          <w:rFonts w:ascii="Calibri" w:cs="Calibri" w:eastAsia="Calibri" w:hAnsi="Calibri"/>
          <w:b w:val="false"/>
          <w:bCs w:val="false"/>
          <w:i w:val="false"/>
          <w:iCs w:val="false"/>
          <w:sz w:val="22"/>
          <w:szCs w:val="22"/>
        </w:rPr>
        <w:t xml:space="preserve">Stel een korte notitie op (maximaal een half A4) waarin je Joost Meilands rol in het dossier van Van Doorn Techniek juridisch positioneert: wanneer opereert hij als Wft-adviseur, wanneer eventueel niet, en welke twee zorgplichten (Wft en civiel) op hem rusten gedurende het hele traject.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de notitie onderscheidt expliciet het advies aan de werkgever (Wft-adviesrelatie met Ferdi, met klantprofiel) van een eventuele individuele bemoeienis met deelnemers zoals Karel (die een aparte beoordeling vraagt); benoemt zowel de Wft-zorgplicht als de civiele zorgplicht als aparte, naast elkaar bestaande verplichtingen; en verwijst expliciet naar de nazorgplicht als doorlopende verplichting na de ondertekening van het contract in deel 14/15.</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2026-08-17T11:22:45.435Z</dcterms:created>
  <dcterms:modified xsi:type="dcterms:W3CDTF">2026-08-17T11:22:45.435Z</dcterms:modified>
</cp:coreProperties>
</file>

<file path=docProps/custom.xml><?xml version="1.0" encoding="utf-8"?>
<Properties xmlns="http://schemas.openxmlformats.org/officeDocument/2006/custom-properties" xmlns:vt="http://schemas.openxmlformats.org/officeDocument/2006/docPropsVTypes"/>
</file>