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19 — Docentenhandleiding</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19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deel geeft een thema dat al sinds deel 9 sluimerend aanwezig was eindelijk een eigen plek. Twee dingen moeten landen:</w:t>
      </w:r>
    </w:p>
    <w:p>
      <w:pPr>
        <w:pStyle w:val="ListParagraph"/>
        <w:numPr>
          <w:ilvl w:val="0"/>
          <w:numId w:val="1"/>
        </w:numPr>
        <w:spacing w:after="80"/>
      </w:pPr>
      <w:r>
        <w:rPr>
          <w:rFonts w:ascii="Calibri" w:cs="Calibri" w:eastAsia="Calibri" w:hAnsi="Calibri"/>
          <w:sz w:val="22"/>
          <w:szCs w:val="22"/>
        </w:rPr>
        <w:t xml:space="preserve">1. Datakwaliteit is geen technisch detail maar de onderstroom van bijna elk onderwerp in deze cursus. De faalpuntentabel in paragraaf 19.5 moet dat zichtbaar maken.</w:t>
      </w:r>
    </w:p>
    <w:p>
      <w:pPr>
        <w:pStyle w:val="ListParagraph"/>
        <w:numPr>
          <w:ilvl w:val="0"/>
          <w:numId w:val="1"/>
        </w:numPr>
        <w:spacing w:after="80"/>
      </w:pPr>
      <w:r>
        <w:rPr>
          <w:rFonts w:ascii="Calibri" w:cs="Calibri" w:eastAsia="Calibri" w:hAnsi="Calibri"/>
          <w:sz w:val="22"/>
          <w:szCs w:val="22"/>
        </w:rPr>
        <w:t xml:space="preserve">2. Niemand voelt zich standaard verantwoordelijk voor de hele keten. Dat moet bij een transitie expliciet worden belegd, niet verondersteld.</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waar dit thema al eerder opdook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Vier dimensies, opdracht 19.1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mutatieketen, opdracht 19.2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figuur 19-2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faalpuntentabel, opdracht 19.3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kern van het dagdeel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Verantwoordelijkheden, opdracht 19.4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Keteneigenaarschap, opdracht 19.5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vijf implementatiecontroles, opdracht 19.6 en 19.7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Terugkoppeling, opdracht 19.8, huiswerk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Vraag de groep: “in welke eerdere delen kwam datakwaliteit al voorbij, zonder dat het toen zo heette?” Laat ze het zelf ophalen — deel 9 (mutatiestroom), deel 14 (inventarisatie), deel 17 (correcte communicatie). Dit geeft het dagdeel meteen het gevoel van “eindelijk een naam geven aan iets wat je al kende” in plaats van compleet nieuwe stof.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Vier dimensies.</w:t>
      </w:r>
      <w:r>
        <w:rPr>
          <w:rFonts w:ascii="Calibri" w:cs="Calibri" w:eastAsia="Calibri" w:hAnsi="Calibri"/>
          <w:b w:val="false"/>
          <w:bCs w:val="false"/>
          <w:i w:val="false"/>
          <w:iCs w:val="false"/>
          <w:sz w:val="22"/>
          <w:szCs w:val="22"/>
        </w:rPr>
        <w:t xml:space="preserve"> Introduceer ze als een vast diagnose-instrument, vergelijkbaar met de vier toetsen uit de scheidslijnkaart van deel 5 of de zeven compensatievragen uit deel 7 — dezelfde cursusdiscipline van “gebruik een vaste checklist” toegepast op een nieuw onderwerp. Bij opdracht 19.1: laat zien dat sommige voorbeelden meerdere dimensies kunnen raken (zoals casus a) — dat is geen fout in de opdracht maar een realistisch kenmerk van datakwaliteitsproblemen.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Mutatieketen.</w:t>
      </w:r>
      <w:r>
        <w:rPr>
          <w:rFonts w:ascii="Calibri" w:cs="Calibri" w:eastAsia="Calibri" w:hAnsi="Calibri"/>
          <w:b w:val="false"/>
          <w:bCs w:val="false"/>
          <w:i w:val="false"/>
          <w:iCs w:val="false"/>
          <w:sz w:val="22"/>
          <w:szCs w:val="22"/>
        </w:rPr>
        <w:t xml:space="preserve"> Bij opdracht 19.2: het punt van de kortere keten bij Van Doorn is een mooie nuance — minder schakels is niet per definitie beter, want het verwijdert ook een mogelijke controlelaag. Laat de groep dit zelf beargumenteren.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faalpuntentabel — kern van het dagdeel.</w:t>
      </w:r>
      <w:r>
        <w:rPr>
          <w:rFonts w:ascii="Calibri" w:cs="Calibri" w:eastAsia="Calibri" w:hAnsi="Calibri"/>
          <w:b w:val="false"/>
          <w:bCs w:val="false"/>
          <w:i w:val="false"/>
          <w:iCs w:val="false"/>
          <w:sz w:val="22"/>
          <w:szCs w:val="22"/>
        </w:rPr>
        <w:t xml:space="preserve"> Dit is het moment waarop de hele cursus letterlijk wordt teruggehaald. Bouw de tabel uit paragraaf 19.5 gezamenlijk op de flap op, met per rij een korte “weet je nog”-herinnering aan het betreffende eerdere deel. Dit werkt het beste als je de groep eerst zelf laat proberen de tabel te vullen (opdracht 19.3 als voorbereiding) voordat je de volledige lijst toont.</w:t>
      </w:r>
    </w:p>
    <w:p>
      <w:pPr>
        <w:spacing w:after="140" w:line="300"/>
      </w:pPr>
      <w:r>
        <w:rPr>
          <w:rFonts w:ascii="Calibri" w:cs="Calibri" w:eastAsia="Calibri" w:hAnsi="Calibri"/>
          <w:b w:val="false"/>
          <w:bCs w:val="false"/>
          <w:i w:val="false"/>
          <w:iCs w:val="false"/>
          <w:sz w:val="22"/>
          <w:szCs w:val="22"/>
        </w:rPr>
        <w:t xml:space="preserve">Het doel is een aha-moment: “o, dit was dus allemaal hetzelfde soort probleem.” Dat inzicht is waardevoller dan de individuele voorbeelden zelf.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Verantwoordelijkheden.</w:t>
      </w:r>
      <w:r>
        <w:rPr>
          <w:rFonts w:ascii="Calibri" w:cs="Calibri" w:eastAsia="Calibri" w:hAnsi="Calibri"/>
          <w:b w:val="false"/>
          <w:bCs w:val="false"/>
          <w:i w:val="false"/>
          <w:iCs w:val="false"/>
          <w:sz w:val="22"/>
          <w:szCs w:val="22"/>
        </w:rPr>
        <w:t xml:space="preserve"> Wees precies bij opdracht 19.4b — de uitvoerder is niet vrijblijvend, maar ook niet onbeperkt aansprakelijk voor wat zij nooit heeft ontvangen. Deze nuance voorkomt dat deelnemers denken dat verantwoordelijkheid altijd bij één partij te leggen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Keteneigenaarschap.</w:t>
      </w:r>
      <w:r>
        <w:rPr>
          <w:rFonts w:ascii="Calibri" w:cs="Calibri" w:eastAsia="Calibri" w:hAnsi="Calibri"/>
          <w:b w:val="false"/>
          <w:bCs w:val="false"/>
          <w:i w:val="false"/>
          <w:iCs w:val="false"/>
          <w:sz w:val="22"/>
          <w:szCs w:val="22"/>
        </w:rPr>
        <w:t xml:space="preserve"> Dit begrip verdient net zoveel gewicht als de andere kernbegrippen in deze cursus. Schrijf de bevinding groot op de flap:</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Elke partij bewaakt haar eigen schakel. Niemand heeft standaard het overzicht over de hele keten.</w:t>
            </w:r>
          </w:p>
        </w:tc>
      </w:tr>
    </w:tbl>
    <w:p>
      <w:pPr>
        <w:spacing w:after="140" w:line="300"/>
      </w:pPr>
      <w:r>
        <w:rPr>
          <w:rFonts w:ascii="Calibri" w:cs="Calibri" w:eastAsia="Calibri" w:hAnsi="Calibri"/>
          <w:b w:val="false"/>
          <w:bCs w:val="false"/>
          <w:i w:val="false"/>
          <w:iCs w:val="false"/>
          <w:sz w:val="22"/>
          <w:szCs w:val="22"/>
        </w:rPr>
        <w:t xml:space="preserve">Laat opdracht 19.5 individueel maken, met een concreet, benoembaar controlemoment — geen abstracte volzinnen over “goede samenwerking”.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Vijf implementatiecontroles.</w:t>
      </w:r>
      <w:r>
        <w:rPr>
          <w:rFonts w:ascii="Calibri" w:cs="Calibri" w:eastAsia="Calibri" w:hAnsi="Calibri"/>
          <w:b w:val="false"/>
          <w:bCs w:val="false"/>
          <w:i w:val="false"/>
          <w:iCs w:val="false"/>
          <w:sz w:val="22"/>
          <w:szCs w:val="22"/>
        </w:rPr>
        <w:t xml:space="preserve"> Koppel dit expliciet terug aan deel 15, stap 10 van het twaalfstappenplan — dit deel vult die stap nu concreet in. Bij opdracht 19.7: dit is een gevoelig punt en verdient rustige behandeling. Laat zien dat de oplossing (een algemene zin voor iedereen) elegant is juist omdat zij niemand individueel hoeft aan te spreken.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Afsluiting.</w:t>
      </w:r>
      <w:r>
        <w:rPr>
          <w:rFonts w:ascii="Calibri" w:cs="Calibri" w:eastAsia="Calibri" w:hAnsi="Calibri"/>
          <w:b w:val="false"/>
          <w:bCs w:val="false"/>
          <w:i w:val="false"/>
          <w:iCs w:val="false"/>
          <w:sz w:val="22"/>
          <w:szCs w:val="22"/>
        </w:rPr>
        <w:t xml:space="preserve"> Opdracht 19.8 is een geheugentoets zonder hulpmiddelen — een goede voorbereiding op de examentraining van deel 21. Wees niet streng over het exacte aantal, maar wel over de kwaliteit van de koppeling tussen voorbeeld en dimensie.</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datakwaliteit niet vooral een IT-onderwerp?”</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Deels, maar de kern van dit deel is dat de meeste fouten ontstaan bij de menselijke overdracht tussen partijen (een vergeten aanmelding, een niet-doorgegeven wijziging), niet in de techniek zelf. Systemen kunnen valideren wat zij ontvangen, maar niet wat hen nooit bereikt.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“Wie betaalt de rekening als een datafout tot schade leidt?”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 hangt af van waar in de keten de fout is ontstaan en welke contractuele en wettelijke verplichtingen daarbij horen (deel 2, 14, 18) — er is geen algemeen antwoord, alleen een route om het per geval te herleiden.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“Hoe vaak moet een datakwaliteitscontrole zoals in paragraaf 19.7 worden gedaan?”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Bij een transitie in ieder geval eenmalig en grondig, vóór de ingangsdatum. Daarnaast is periodieke steekproefcontrole ook buiten transitiemomenten goede praktijk, al valt de precieze frequentie buiten het bestek van deze cursus.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de adviseur aansprakelijk voor datafouten die na zijn advies ontstaan?”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In de regel niet, tenzij de fout herleidbaar is tot een gebrek in zijn eigen inventarisatie of klantprofiel (deel 18). Een operationele mutatiefout jaren na de transitie ligt buiten zijn verantwoordelijkheid, tenzij hij een doorlopende rol in de mutatieverwerking heeft aanvaard.</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De vier dimensies als vaste flap, naast de andere cursusinstrumenten</w:t>
      </w:r>
    </w:p>
    <w:p>
      <w:pPr>
        <w:pStyle w:val="ListParagraph"/>
        <w:numPr>
          <w:ilvl w:val="0"/>
          <w:numId w:val="1"/>
        </w:numPr>
        <w:spacing w:after="80"/>
      </w:pPr>
      <w:r>
        <w:rPr>
          <w:rFonts w:ascii="Calibri" w:cs="Calibri" w:eastAsia="Calibri" w:hAnsi="Calibri"/>
          <w:sz w:val="22"/>
          <w:szCs w:val="22"/>
        </w:rPr>
        <w:t xml:space="preserve">De faalpuntentabel als gezamenlijk in te vullen grote flap</w:t>
      </w:r>
    </w:p>
    <w:p>
      <w:pPr>
        <w:pStyle w:val="ListParagraph"/>
        <w:numPr>
          <w:ilvl w:val="0"/>
          <w:numId w:val="1"/>
        </w:numPr>
        <w:spacing w:after="80"/>
      </w:pPr>
      <w:r>
        <w:rPr>
          <w:rFonts w:ascii="Calibri" w:cs="Calibri" w:eastAsia="Calibri" w:hAnsi="Calibri"/>
          <w:sz w:val="22"/>
          <w:szCs w:val="22"/>
        </w:rPr>
        <w:t xml:space="preserve">figuur 19-2 als poster van de mutatieketen</w:t>
      </w:r>
    </w:p>
    <w:p>
      <w:pPr>
        <w:pStyle w:val="ListParagraph"/>
        <w:numPr>
          <w:ilvl w:val="0"/>
          <w:numId w:val="1"/>
        </w:numPr>
        <w:spacing w:after="80"/>
      </w:pPr>
      <w:r>
        <w:rPr>
          <w:rFonts w:ascii="Calibri" w:cs="Calibri" w:eastAsia="Calibri" w:hAnsi="Calibri"/>
          <w:sz w:val="22"/>
          <w:szCs w:val="22"/>
        </w:rPr>
        <w:t xml:space="preserve">Een fictief maar realistisch voorbeeld van een bestandsvergelijking (oud versus nieuw) voor opdracht 19.6</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19.8, als voorbereiding op deel 21. Kondig deel 20 aan: alles wat in dit deel misgaat, kan bij een toezichthouder of geschilleninstantie terechtkomen — DNB, AFM, en de klachten- en geschillenroute voor wanneer het toch fout gaat.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2026-08-17T11:22:45.565Z</dcterms:created>
  <dcterms:modified xsi:type="dcterms:W3CDTF">2026-08-17T11:22:45.565Z</dcterms:modified>
</cp:coreProperties>
</file>

<file path=docProps/custom.xml><?xml version="1.0" encoding="utf-8"?>
<Properties xmlns="http://schemas.openxmlformats.org/officeDocument/2006/custom-properties" xmlns:vt="http://schemas.openxmlformats.org/officeDocument/2006/docPropsVTypes"/>
</file>