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19 — Werkboek</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19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19.1 — De vier dimensies herkennen</w:t>
      </w:r>
    </w:p>
    <w:p>
      <w:pPr>
        <w:spacing w:after="140" w:line="300"/>
      </w:pPr>
      <w:r>
        <w:rPr>
          <w:rFonts w:ascii="Calibri" w:cs="Calibri" w:eastAsia="Calibri" w:hAnsi="Calibri"/>
          <w:b w:val="false"/>
          <w:bCs w:val="false"/>
          <w:i w:val="false"/>
          <w:iCs w:val="false"/>
          <w:sz w:val="22"/>
          <w:szCs w:val="22"/>
        </w:rPr>
        <w:t xml:space="preserve">Welke dimensie is bij elk voorbeeld geschonden — juistheid, volledigheid, tijdigheid of consistentie?</w:t>
      </w:r>
    </w:p>
    <w:p>
      <w:pPr>
        <w:spacing w:after="140" w:line="300"/>
      </w:pPr>
      <w:r>
        <w:rPr>
          <w:rFonts w:ascii="Calibri" w:cs="Calibri" w:eastAsia="Calibri" w:hAnsi="Calibri"/>
          <w:b w:val="false"/>
          <w:bCs w:val="false"/>
          <w:i w:val="false"/>
          <w:iCs w:val="false"/>
          <w:sz w:val="22"/>
          <w:szCs w:val="22"/>
        </w:rPr>
        <w:t xml:space="preserve">a. Een medewerker is getrouwd, maar dat is nergens in de pensioenadministratie vastgelegd.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salaris is met een typefout een cijfer te hoog ingevoerd.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indiensttreding wordt pas na acht weken aan de uitvoerder doorgegeven.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De salarisadministratie toont een deeltijdfactor van 0,8, de pensioenadministratie nog 1,0 uit een eerder jaar.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volledigheid (al kan het, afhankelijk van het reglement, ook een gemiste aanmeldplicht zijn — zie deel 9, al is bij een huwelijk vaak geen aparte aanmelding nodig, in tegenstelling tot ongehuwd samenwonen). b: juistheid. c: tijdigheid. d: consistentie.</w:t>
            </w:r>
          </w:p>
        </w:tc>
      </w:tr>
    </w:tbl>
    <w:p>
      <w:pPr>
        <w:spacing w:after="100"/>
      </w:pPr>
    </w:p>
    <w:p>
      <w:pPr>
        <w:pStyle w:val="Heading2"/>
        <w:spacing w:after="120" w:before="200"/>
      </w:pPr>
      <w:r>
        <w:rPr>
          <w:rFonts w:ascii="Georgia" w:cs="Georgia" w:eastAsia="Georgia" w:hAnsi="Georgia"/>
          <w:b/>
          <w:bCs/>
          <w:color w:val="2563A8"/>
          <w:sz w:val="28"/>
          <w:szCs w:val="28"/>
        </w:rPr>
        <w:t xml:space="preserve">Opdracht 19.2 — De mutatieketen tekenen</w:t>
      </w:r>
    </w:p>
    <w:p>
      <w:pPr>
        <w:spacing w:after="140" w:line="300"/>
      </w:pPr>
      <w:r>
        <w:rPr>
          <w:rFonts w:ascii="Calibri" w:cs="Calibri" w:eastAsia="Calibri" w:hAnsi="Calibri"/>
          <w:b w:val="false"/>
          <w:bCs w:val="false"/>
          <w:i w:val="false"/>
          <w:iCs w:val="false"/>
          <w:sz w:val="22"/>
          <w:szCs w:val="22"/>
        </w:rPr>
        <w:t xml:space="preserve">Teken voor Van Doorn Techniek (geen aparte salarisverwerker, Anouk beheert de salarisadministratie) de mutatieketen met minder schakels dan het algemene model uit paragraaf 19.4. Wat is het voordeel van deze kortere keten, en wat het nadeel?</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Keten: gebeurtenis → vastlegging door Anouk → rechtstreekse doorgifte aan Meridiaan. Voordeel: minder schakels betekent minder kans op ruis tussen overdrachten — er is geen aparte salarisverwerker die een eigen foutbron toevoegt. Nadeel: Anouk is een single point of failure; als zij een mutatie mist of fout invoert, is er geen tweede partij die dit als controle zou kunnen opvangen vóórdat het bij Meridiaan aankomt.</w:t>
            </w:r>
          </w:p>
        </w:tc>
      </w:tr>
    </w:tbl>
    <w:p>
      <w:pPr>
        <w:spacing w:after="100"/>
      </w:pPr>
    </w:p>
    <w:p>
      <w:pPr>
        <w:pStyle w:val="Heading2"/>
        <w:spacing w:after="120" w:before="200"/>
      </w:pPr>
      <w:r>
        <w:rPr>
          <w:rFonts w:ascii="Georgia" w:cs="Georgia" w:eastAsia="Georgia" w:hAnsi="Georgia"/>
          <w:b/>
          <w:bCs/>
          <w:color w:val="2563A8"/>
          <w:sz w:val="28"/>
          <w:szCs w:val="28"/>
        </w:rPr>
        <w:t xml:space="preserve">Opdracht 19.3 — De faalpuntentabel aanvullen</w:t>
      </w:r>
    </w:p>
    <w:p>
      <w:pPr>
        <w:spacing w:after="140" w:line="300"/>
      </w:pPr>
      <w:r>
        <w:rPr>
          <w:rFonts w:ascii="Calibri" w:cs="Calibri" w:eastAsia="Calibri" w:hAnsi="Calibri"/>
          <w:b w:val="false"/>
          <w:bCs w:val="false"/>
          <w:i w:val="false"/>
          <w:iCs w:val="false"/>
          <w:sz w:val="22"/>
          <w:szCs w:val="22"/>
        </w:rPr>
        <w:t xml:space="preserve">Noem, teruggrijpend op eerdere delen, twee aanvullende voorbeelden van datafalen uit deze cursus die niet in de tabel van paragraaf 19.5 staan, en benoem welke dimensie elk schendt.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(voorbeelden). Het gemiste projectierendement-verschil dat niet wordt toegelicht in het definitieve transitieoverzicht (deel 17, opdracht 17.3) — dit is strikt genomen geen datafout maar een communicatiefout gebaseerd op correcte data; goed om te bespreken als grensgeval. Een medewerker die tijdens de transitie arbeidsongeschikt wordt en van wie de status niet correct wordt overgenomen naar de nieuwe regeling (deel 8, de vergeten groep) — schending van volledigheid en mogelijk tijdigheid.</w:t>
            </w:r>
          </w:p>
        </w:tc>
      </w:tr>
    </w:tbl>
    <w:p>
      <w:pPr>
        <w:spacing w:after="140" w:line="300"/>
      </w:pPr>
      <w:r>
        <w:rPr>
          <w:rFonts w:ascii="Calibri" w:cs="Calibri" w:eastAsia="Calibri" w:hAnsi="Calibri"/>
          <w:b w:val="false"/>
          <w:bCs w:val="false"/>
          <w:i w:val="false"/>
          <w:iCs w:val="false"/>
          <w:sz w:val="22"/>
          <w:szCs w:val="22"/>
        </w:rPr>
        <w:t xml:space="preserve">Beoordelingslijn: het grensgeval (communicatiefout versus datafout) mag door deelnemers verschillend worden ingedeeld, zolang de redenering expliciet is.</w:t>
      </w:r>
    </w:p>
    <w:p>
      <w:pPr>
        <w:spacing w:after="100"/>
      </w:pPr>
    </w:p>
    <w:p>
      <w:pPr>
        <w:pStyle w:val="Heading2"/>
        <w:spacing w:after="120" w:before="200"/>
      </w:pPr>
      <w:r>
        <w:rPr>
          <w:rFonts w:ascii="Georgia" w:cs="Georgia" w:eastAsia="Georgia" w:hAnsi="Georgia"/>
          <w:b/>
          <w:bCs/>
          <w:color w:val="2563A8"/>
          <w:sz w:val="28"/>
          <w:szCs w:val="28"/>
        </w:rPr>
        <w:t xml:space="preserve">Opdracht 19.4 — Verantwoordelijkheid toedelen</w:t>
      </w:r>
    </w:p>
    <w:p>
      <w:pPr>
        <w:spacing w:after="140" w:line="300"/>
      </w:pPr>
      <w:r>
        <w:rPr>
          <w:rFonts w:ascii="Calibri" w:cs="Calibri" w:eastAsia="Calibri" w:hAnsi="Calibri"/>
          <w:b w:val="false"/>
          <w:bCs w:val="false"/>
          <w:i w:val="false"/>
          <w:iCs w:val="false"/>
          <w:sz w:val="22"/>
          <w:szCs w:val="22"/>
        </w:rPr>
        <w:t xml:space="preserve">Bij Van Doorn is een salariswijziging van Karel niet op tijd doorgegeven aan Meridiaan, met als gevolg een tijdelijk te lage premie-inleg.</w:t>
      </w:r>
    </w:p>
    <w:p>
      <w:pPr>
        <w:spacing w:after="140" w:line="300"/>
      </w:pPr>
      <w:r>
        <w:rPr>
          <w:rFonts w:ascii="Calibri" w:cs="Calibri" w:eastAsia="Calibri" w:hAnsi="Calibri"/>
          <w:b w:val="false"/>
          <w:bCs w:val="false"/>
          <w:i w:val="false"/>
          <w:iCs w:val="false"/>
          <w:sz w:val="22"/>
          <w:szCs w:val="22"/>
        </w:rPr>
        <w:t xml:space="preserve">a. Wie is hiervoor primair verantwoordelijk?</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Is Meridiaan hiervoor ook op enige manier aan te spreken?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is de rol van Joost Meiland hierin, zo die er is?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Van Doorn Techniek (via Anouk) — de informatieverplichting uit de uitvoeringsovereenkomst (deel 2 en 14) rust op de werkgever.</w:t>
      </w:r>
    </w:p>
    <w:p>
      <w:pPr>
        <w:spacing w:after="140" w:line="300"/>
      </w:pPr>
      <w:r>
        <w:rPr>
          <w:rFonts w:ascii="Calibri" w:cs="Calibri" w:eastAsia="Calibri" w:hAnsi="Calibri"/>
          <w:b w:val="false"/>
          <w:bCs w:val="false"/>
          <w:i w:val="false"/>
          <w:iCs w:val="false"/>
          <w:sz w:val="22"/>
          <w:szCs w:val="22"/>
        </w:rPr>
        <w:t xml:space="preserve">b. Beperkt — Meridiaan is verantwoordelijk voor correcte verwerking van wat wordt aangeleverd, maar kan een mutatie die zij niet heeft ontvangen niet verwerken. Wel kan worden getoetst of Meridiaan een adequate validatie- en signaleringsfunctie heeft ingericht die afwijkingen (bijvoorbeeld een salaris dat al lange tijd niet is bijgewerkt) had kunnen opmerken.</w:t>
      </w:r>
    </w:p>
    <w:p>
      <w:pPr>
        <w:spacing w:after="140" w:line="300"/>
      </w:pPr>
      <w:r>
        <w:rPr>
          <w:rFonts w:ascii="Calibri" w:cs="Calibri" w:eastAsia="Calibri" w:hAnsi="Calibri"/>
          <w:b w:val="false"/>
          <w:bCs w:val="false"/>
          <w:i w:val="false"/>
          <w:iCs w:val="false"/>
          <w:sz w:val="22"/>
          <w:szCs w:val="22"/>
        </w:rPr>
        <w:t xml:space="preserve">c. Beperkt tot geen, tenzij dit een gevolg is van een tekortkoming in het klantprofiel of de inventarisatie (deel 14 en 18) waarvoor hij verantwoordelijk was. Een operationele mutatiefout na de transitie ligt in de regel buiten de rol van de adviseur.</w:t>
      </w:r>
    </w:p>
    <w:p>
      <w:pPr>
        <w:spacing w:after="100"/>
      </w:pPr>
    </w:p>
    <w:p>
      <w:pPr>
        <w:pStyle w:val="Heading2"/>
        <w:spacing w:after="120" w:before="200"/>
      </w:pPr>
      <w:r>
        <w:rPr>
          <w:rFonts w:ascii="Georgia" w:cs="Georgia" w:eastAsia="Georgia" w:hAnsi="Georgia"/>
          <w:b/>
          <w:bCs/>
          <w:color w:val="2563A8"/>
          <w:sz w:val="28"/>
          <w:szCs w:val="28"/>
        </w:rPr>
        <w:t xml:space="preserve">Opdracht 19.5 — Keteneigenaarschap beleggen</w:t>
      </w:r>
    </w:p>
    <w:p>
      <w:pPr>
        <w:spacing w:after="140" w:line="300"/>
      </w:pPr>
      <w:r>
        <w:rPr>
          <w:rFonts w:ascii="Calibri" w:cs="Calibri" w:eastAsia="Calibri" w:hAnsi="Calibri"/>
          <w:b w:val="false"/>
          <w:bCs w:val="false"/>
          <w:i w:val="false"/>
          <w:iCs w:val="false"/>
          <w:sz w:val="22"/>
          <w:szCs w:val="22"/>
        </w:rPr>
        <w:t xml:space="preserve">Formuleer een voorstel van maximaal vijf zinnen voor wie bij Van Doorn tijdens de transitie het keteneigenaarschap (het overzicht over de hele mutatieketen, niet alleen de eigen schakel) op zich zou moeten nemen, en waarom.</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(richtlijn). Een sterk voorstel wijst een concrete rol aan — bijvoorbeeld Anouk voor de interne kant, met Joost als aanvullende blik van buitenaf tijdens de implementatiefase — en onderbouwt waarom niemand dit automatisch al doet: Meridiaan ziet alleen wat wordt aangeleverd, Joost is na de contractering formeel niet meer in de operationele keten betrokken tenzij dit expliciet wordt afgesproken. Het voorstel benoemt idealiter een concreet controlemoment (bijvoorbeeld: twee weken vóór de ingangsdatum een gezamenlijke bestandscontrole) in plaats van alleen een abstracte rolverdeling.</w:t>
            </w:r>
          </w:p>
        </w:tc>
      </w:tr>
    </w:tbl>
    <w:p>
      <w:pPr>
        <w:spacing w:after="100"/>
      </w:pPr>
    </w:p>
    <w:p>
      <w:pPr>
        <w:pStyle w:val="Heading2"/>
        <w:spacing w:after="120" w:before="200"/>
      </w:pPr>
      <w:r>
        <w:rPr>
          <w:rFonts w:ascii="Georgia" w:cs="Georgia" w:eastAsia="Georgia" w:hAnsi="Georgia"/>
          <w:b/>
          <w:bCs/>
          <w:color w:val="2563A8"/>
          <w:sz w:val="28"/>
          <w:szCs w:val="28"/>
        </w:rPr>
        <w:t xml:space="preserve">Opdracht 19.6 — De vijf implementatiecontroles toepassen</w:t>
      </w:r>
    </w:p>
    <w:p>
      <w:pPr>
        <w:spacing w:after="140" w:line="300"/>
      </w:pPr>
      <w:r>
        <w:rPr>
          <w:rFonts w:ascii="Calibri" w:cs="Calibri" w:eastAsia="Calibri" w:hAnsi="Calibri"/>
          <w:b w:val="false"/>
          <w:bCs w:val="false"/>
          <w:i w:val="false"/>
          <w:iCs w:val="false"/>
          <w:sz w:val="22"/>
          <w:szCs w:val="22"/>
        </w:rPr>
        <w:t xml:space="preserve">Pas de vijf controles uit paragraaf 19.7 toe op Van Doorn Techniek: geef voor elke controle een concreet voorbeeld van wat er specifiek gecontroleerd zou moeten worden in dit dossier.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pStyle w:val="ListParagraph"/>
        <w:numPr>
          <w:ilvl w:val="0"/>
          <w:numId w:val="1"/>
        </w:numPr>
        <w:spacing w:after="80"/>
      </w:pPr>
      <w:r>
        <w:rPr>
          <w:rFonts w:ascii="Calibri" w:cs="Calibri" w:eastAsia="Calibri" w:hAnsi="Calibri"/>
          <w:sz w:val="22"/>
          <w:szCs w:val="22"/>
        </w:rPr>
        <w:t xml:space="preserve">1. Bestandsvergelijking: het bestand waarop de offerte bij Meridiaan/de vergelijkende partijen (deel 14) is gebaseerd, tegen het bestand op de daadwerkelijke ingangsdatum — zijn er tussentijds nieuwe medewerkers bijgekomen of vertrokken?</w:t>
      </w:r>
    </w:p>
    <w:p>
      <w:pPr>
        <w:pStyle w:val="ListParagraph"/>
        <w:numPr>
          <w:ilvl w:val="0"/>
          <w:numId w:val="1"/>
        </w:numPr>
        <w:spacing w:after="80"/>
      </w:pPr>
      <w:r>
        <w:rPr>
          <w:rFonts w:ascii="Calibri" w:cs="Calibri" w:eastAsia="Calibri" w:hAnsi="Calibri"/>
          <w:sz w:val="22"/>
          <w:szCs w:val="22"/>
        </w:rPr>
        <w:t xml:space="preserve">2. Steekproef: Karels dossier (complexe historie) en een willekeurige andere medewerker.</w:t>
      </w:r>
    </w:p>
    <w:p>
      <w:pPr>
        <w:pStyle w:val="ListParagraph"/>
        <w:numPr>
          <w:ilvl w:val="0"/>
          <w:numId w:val="1"/>
        </w:numPr>
        <w:spacing w:after="80"/>
      </w:pPr>
      <w:r>
        <w:rPr>
          <w:rFonts w:ascii="Calibri" w:cs="Calibri" w:eastAsia="Calibri" w:hAnsi="Calibri"/>
          <w:sz w:val="22"/>
          <w:szCs w:val="22"/>
        </w:rPr>
        <w:t xml:space="preserve">3. Consistentiecontrole: klopt Yasmins deeltijdfactor (indien van toepassing) in zowel de premieberekening als het lifecycle-systeem?</w:t>
      </w:r>
    </w:p>
    <w:p>
      <w:pPr>
        <w:pStyle w:val="ListParagraph"/>
        <w:numPr>
          <w:ilvl w:val="0"/>
          <w:numId w:val="1"/>
        </w:numPr>
        <w:spacing w:after="80"/>
      </w:pPr>
      <w:r>
        <w:rPr>
          <w:rFonts w:ascii="Calibri" w:cs="Calibri" w:eastAsia="Calibri" w:hAnsi="Calibri"/>
          <w:sz w:val="22"/>
          <w:szCs w:val="22"/>
        </w:rPr>
        <w:t xml:space="preserve">4. Bijzondere posities: is er op het transitiemoment een medewerker arbeidsongeschikt, en is diens positie expliciet gecontroleerd (deel 8)?</w:t>
      </w:r>
    </w:p>
    <w:p>
      <w:pPr>
        <w:pStyle w:val="ListParagraph"/>
        <w:numPr>
          <w:ilvl w:val="0"/>
          <w:numId w:val="1"/>
        </w:numPr>
        <w:spacing w:after="80"/>
      </w:pPr>
      <w:r>
        <w:rPr>
          <w:rFonts w:ascii="Calibri" w:cs="Calibri" w:eastAsia="Calibri" w:hAnsi="Calibri"/>
          <w:sz w:val="22"/>
          <w:szCs w:val="22"/>
        </w:rPr>
        <w:t xml:space="preserve">5. Testcommunicatie: één testcasus — bijvoorbeeld een fictieve deelnemer met een vergelijkbaar profiel als Karel — door de volledige communicatieketen laten lopen vóór de definitieve overzichten worden verstuurd.</w:t>
      </w:r>
    </w:p>
    <w:p>
      <w:pPr>
        <w:spacing w:after="100"/>
      </w:pPr>
    </w:p>
    <w:p>
      <w:pPr>
        <w:pStyle w:val="Heading2"/>
        <w:spacing w:after="120" w:before="200"/>
      </w:pPr>
      <w:r>
        <w:rPr>
          <w:rFonts w:ascii="Georgia" w:cs="Georgia" w:eastAsia="Georgia" w:hAnsi="Georgia"/>
          <w:b/>
          <w:bCs/>
          <w:color w:val="2563A8"/>
          <w:sz w:val="28"/>
          <w:szCs w:val="28"/>
        </w:rPr>
        <w:t xml:space="preserve">Opdracht 19.7 — De ongemakkelijke vraag</w:t>
      </w:r>
    </w:p>
    <w:p>
      <w:pPr>
        <w:spacing w:after="140" w:line="300"/>
      </w:pPr>
      <w:r>
        <w:rPr>
          <w:rFonts w:ascii="Calibri" w:cs="Calibri" w:eastAsia="Calibri" w:hAnsi="Calibri"/>
          <w:b w:val="false"/>
          <w:bCs w:val="false"/>
          <w:i w:val="false"/>
          <w:iCs w:val="false"/>
          <w:sz w:val="22"/>
          <w:szCs w:val="22"/>
        </w:rPr>
        <w:t xml:space="preserve">Paragraaf 19.8 eindigt met de constatering dat actief uitvragen of medewerkers een niet-aangemelde partner hebben, zelden comfortabel is. Formuleer een manier waarop Anouk dit tijdens de transitiecommunicatie (deel 17) toch op een niet-opdringerige manier kan adresseren voor het hele personeelsbestand tegelijk, in plaats van individueel na te vragen.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 Een algemene zin in de transitiecommunicatie voor iedereen, ongeacht individuele situatie: “Woont u samen zonder getrouwd te zijn of een geregistreerd partnerschap te hebben? Controleer dan of uw partner bij ons is aangemeld voor het partnerpensioen — dat gaat niet automatisch. Twijfelt u? Neem contact op.” Dit adresseert de kwetsbare groep zonder iemand individueel te hoeven aanspreken, en sluit aan bij de zin die in deel 9 (opdracht 9.2) al werd geformuleerd voor de startbrief — nu herhaald op het transitiemoment, een tweede kans om de fout te herstellen.</w:t>
            </w:r>
          </w:p>
        </w:tc>
      </w:tr>
    </w:tbl>
    <w:p>
      <w:pPr>
        <w:spacing w:after="100"/>
      </w:pPr>
    </w:p>
    <w:p>
      <w:pPr>
        <w:pStyle w:val="Heading2"/>
        <w:spacing w:after="120" w:before="200"/>
      </w:pPr>
      <w:r>
        <w:rPr>
          <w:rFonts w:ascii="Georgia" w:cs="Georgia" w:eastAsia="Georgia" w:hAnsi="Georgia"/>
          <w:b/>
          <w:bCs/>
          <w:color w:val="2563A8"/>
          <w:sz w:val="28"/>
          <w:szCs w:val="28"/>
        </w:rPr>
        <w:t xml:space="preserve">Opdracht 19.8 — Terugkoppeling naar de hele cursus</w:t>
      </w:r>
    </w:p>
    <w:p>
      <w:pPr>
        <w:spacing w:after="140" w:line="300"/>
      </w:pPr>
      <w:r>
        <w:rPr>
          <w:rFonts w:ascii="Calibri" w:cs="Calibri" w:eastAsia="Calibri" w:hAnsi="Calibri"/>
          <w:b w:val="false"/>
          <w:bCs w:val="false"/>
          <w:i w:val="false"/>
          <w:iCs w:val="false"/>
          <w:sz w:val="22"/>
          <w:szCs w:val="22"/>
        </w:rPr>
        <w:t xml:space="preserve">Maak de faalpuntentabel uit paragraaf 19.5 compleet vanuit je eigen geheugen: probeer zonder de reader erbij te pakken minstens vier voorbeelden van datafalen uit deze cursus op te schrijven, met het bijbehorende deel en de geschonden dimensie.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uniek modelantwoord — dit is een geheugentoets die het cumulatieve karakter van de cursus test. Beoordelingscriterium: minstens vier correcte voorbeelden met correct gekoppelde dimensie. Deelnemers die minder dan drie kunnen noemen, doen er goed aan de delen 4, 8, 9, 11, 12, 14 en 17 kort door te bladeren vóór deel 21 (de examentraining en capstone van niveau 2).</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2026-08-17T11:22:45.540Z</dcterms:created>
  <dcterms:modified xsi:type="dcterms:W3CDTF">2026-08-17T11:22:45.540Z</dcterms:modified>
</cp:coreProperties>
</file>

<file path=docProps/custom.xml><?xml version="1.0" encoding="utf-8"?>
<Properties xmlns="http://schemas.openxmlformats.org/officeDocument/2006/custom-properties" xmlns:vt="http://schemas.openxmlformats.org/officeDocument/2006/docPropsVTypes"/>
</file>