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20 — Docentenhandleiding</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20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Dit is het laatste inhoudelijke dagdeel vóór de afsluiting van niveau 2 (deel 21). Het doel is deelnemers een vangnet-kaart te geven: als er ondanks alles wat in deze cursus is behandeld toch een geschil ontstaat, moeten zij binnen dertig seconden weten welke route van toepassing is.</w:t>
      </w:r>
    </w:p>
    <w:p>
      <w:pPr>
        <w:spacing w:after="140" w:line="300"/>
      </w:pPr>
      <w:r>
        <w:rPr>
          <w:rFonts w:ascii="Calibri" w:cs="Calibri" w:eastAsia="Calibri" w:hAnsi="Calibri"/>
          <w:b w:val="false"/>
          <w:bCs w:val="false"/>
          <w:i w:val="false"/>
          <w:iCs w:val="false"/>
          <w:sz w:val="22"/>
          <w:szCs w:val="22"/>
        </w:rPr>
        <w:t xml:space="preserve">De kernboodschap:</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Uitvoering gaat naar de geschilleninstantie; totstandkoming gaat naar de rechter.</w:t>
            </w:r>
          </w:p>
        </w:tc>
      </w:tr>
    </w:tbl>
    <w:p>
      <w:pPr>
        <w:spacing w:after="140" w:line="300"/>
      </w:pPr>
      <w:r>
        <w:rPr>
          <w:rFonts w:ascii="Calibri" w:cs="Calibri" w:eastAsia="Calibri" w:hAnsi="Calibri"/>
          <w:b w:val="false"/>
          <w:bCs w:val="false"/>
          <w:i w:val="false"/>
          <w:iCs w:val="false"/>
          <w:sz w:val="22"/>
          <w:szCs w:val="22"/>
        </w:rPr>
        <w:t xml:space="preserve">Dat onderscheid is de rode draad van het hele dagdeel, en het is dezelfde onderliggende logica als het bezwaarrecht-onderscheid uit deel 16.</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DNB en AFM uit deel 1, nu verdiept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Prudentieel versus gedragstoezicht, opdracht 20.1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interne klachtenprocedure, opdracht 20.2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GIP en Kifid, opdracht 20.3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met tabel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Uitvoering versus totstandkoming, opdracht 20.4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 kern van het dagdeel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Bemiddeling en beslechting, opdracht 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AFM en individuele klachten, opdracht 20.6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 geschillen van Van Doorn, opdracht 20.7 en 20.8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Haal de oorspronkelijke introductie uit deel 1 op: “DNB houdt prudentieel toezicht, AFM houdt gedragstoezicht — is het geld er, en klopt wat er wordt verteld.” Zeg: vandaag krijgt dat onderscheid tanden, met concrete instanties en routes.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Prudentieel versus gedragstoezicht.</w:t>
      </w:r>
      <w:r>
        <w:rPr>
          <w:rFonts w:ascii="Calibri" w:cs="Calibri" w:eastAsia="Calibri" w:hAnsi="Calibri"/>
          <w:b w:val="false"/>
          <w:bCs w:val="false"/>
          <w:i w:val="false"/>
          <w:iCs w:val="false"/>
          <w:sz w:val="22"/>
          <w:szCs w:val="22"/>
        </w:rPr>
        <w:t xml:space="preserve"> Bij opdracht 20.1: laat de groep expliciet benoemen naar welk eerder deel elk voorbeeld verwijst (deel 16 voor a, deel 17 voor b, deel 1/12 voor c, deel 18 voor d). Dit is een geheugenoefening die tegelijk het onderscheid verstevigt.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Interne klachtenprocedure.</w:t>
      </w:r>
      <w:r>
        <w:rPr>
          <w:rFonts w:ascii="Calibri" w:cs="Calibri" w:eastAsia="Calibri" w:hAnsi="Calibri"/>
          <w:b w:val="false"/>
          <w:bCs w:val="false"/>
          <w:i w:val="false"/>
          <w:iCs w:val="false"/>
          <w:sz w:val="22"/>
          <w:szCs w:val="22"/>
        </w:rPr>
        <w:t xml:space="preserve"> Kort en to the point: dit is de verplichte eerste stap, met één duidelijke uitzondering (stilzitten of termijnoverschrijding). Bij opdracht 20.2: benadruk dat dit geen bureaucratische horde is maar een wettelijk vereiste — deelnemers die “gewoon meteen naar de rechter” willen, moeten weten dat dit voor deze categorie geschillen niet de eerste stap 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GIP en Kifid.</w:t>
      </w:r>
      <w:r>
        <w:rPr>
          <w:rFonts w:ascii="Calibri" w:cs="Calibri" w:eastAsia="Calibri" w:hAnsi="Calibri"/>
          <w:b w:val="false"/>
          <w:bCs w:val="false"/>
          <w:i w:val="false"/>
          <w:iCs w:val="false"/>
          <w:sz w:val="22"/>
          <w:szCs w:val="22"/>
        </w:rPr>
        <w:t xml:space="preserve"> Herhaal de tweedeling fondsen/verzekeraars die al sinds deel 1 door de hele cursus loopt. Bij opdracht 20.3: dit is grotendeels toepassing van reeds bekende kennis (welk type uitvoerder is dit) gecombineerd met de nieuwe informatie (welke instantie hoort daarbij). Laat het snel gaan.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Uitvoering versus totstandkoming — kern van het dagdeel.</w:t>
      </w:r>
      <w:r>
        <w:rPr>
          <w:rFonts w:ascii="Calibri" w:cs="Calibri" w:eastAsia="Calibri" w:hAnsi="Calibri"/>
          <w:b w:val="false"/>
          <w:bCs w:val="false"/>
          <w:i w:val="false"/>
          <w:iCs w:val="false"/>
          <w:sz w:val="22"/>
          <w:szCs w:val="22"/>
        </w:rPr>
        <w:t xml:space="preserve"> Neem hier de meeste tijd, minstens dertig minuten. Dit onderscheid is subtieler dan het lijkt en verdient zorgvuldige behandeling.</w:t>
      </w:r>
    </w:p>
    <w:p>
      <w:pPr>
        <w:spacing w:after="140" w:line="300"/>
      </w:pPr>
      <w:r>
        <w:rPr>
          <w:rFonts w:ascii="Calibri" w:cs="Calibri" w:eastAsia="Calibri" w:hAnsi="Calibri"/>
          <w:b w:val="false"/>
          <w:bCs w:val="false"/>
          <w:i w:val="false"/>
          <w:iCs w:val="false"/>
          <w:sz w:val="22"/>
          <w:szCs w:val="22"/>
        </w:rPr>
        <w:t xml:space="preserve">Gebruik als kapstok de twee zinnen uit paragraaf 20.5 van de reader:</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“Geschillen over de uitvoering van het pensioenreglement” — wél naar de geschilleninstantie.“Geschillen over de wijziging van de pensioenovereenkomst door sociale partners” — níet naar de geschilleninstantie.</w:t>
            </w:r>
          </w:p>
        </w:tc>
      </w:tr>
    </w:tbl>
    <w:p>
      <w:pPr>
        <w:spacing w:after="140" w:line="300"/>
      </w:pPr>
      <w:r>
        <w:rPr>
          <w:rFonts w:ascii="Calibri" w:cs="Calibri" w:eastAsia="Calibri" w:hAnsi="Calibri"/>
          <w:b w:val="false"/>
          <w:bCs w:val="false"/>
          <w:i w:val="false"/>
          <w:iCs w:val="false"/>
          <w:sz w:val="22"/>
          <w:szCs w:val="22"/>
        </w:rPr>
        <w:t xml:space="preserve">Bij opdracht 20.4, casus c: dit is de subtielste casus en verdient expliciete aandacht. Laat de groep eerst zelf worstelen met de vraag of dit “uitvoering” of “totstandkoming” is, vóórdat je het antwoord bevestigt. Het onderscheidende criterium: gaat het geschil over wát er is afgesproken (totstandkoming) of over of de afspraak correct is </w:t>
      </w:r>
      <w:r>
        <w:rPr>
          <w:rFonts w:ascii="Calibri" w:cs="Calibri" w:eastAsia="Calibri" w:hAnsi="Calibri"/>
          <w:b/>
          <w:bCs/>
          <w:i w:val="false"/>
          <w:iCs w:val="false"/>
          <w:sz w:val="22"/>
          <w:szCs w:val="22"/>
        </w:rPr>
        <w:t xml:space="preserve">toegepast</w:t>
      </w:r>
      <w:r>
        <w:rPr>
          <w:rFonts w:ascii="Calibri" w:cs="Calibri" w:eastAsia="Calibri" w:hAnsi="Calibri"/>
          <w:b w:val="false"/>
          <w:bCs w:val="false"/>
          <w:i w:val="false"/>
          <w:iCs w:val="false"/>
          <w:sz w:val="22"/>
          <w:szCs w:val="22"/>
        </w:rPr>
        <w:t xml:space="preserve"> (uitvoering)?</w:t>
      </w:r>
    </w:p>
    <w:p>
      <w:pPr>
        <w:spacing w:after="140" w:line="300"/>
      </w:pPr>
      <w:r>
        <w:rPr>
          <w:rFonts w:ascii="Calibri" w:cs="Calibri" w:eastAsia="Calibri" w:hAnsi="Calibri"/>
          <w:b w:val="false"/>
          <w:bCs w:val="false"/>
          <w:i w:val="false"/>
          <w:iCs w:val="false"/>
          <w:sz w:val="22"/>
          <w:szCs w:val="22"/>
        </w:rPr>
        <w:t xml:space="preserve">Trek hier expliciet de parallel met deel 16 (invaren versus CWO, individueel versus collectief bezwaarrecht) — dit is dezelfde onderliggende logica in een nieuwe context, en het benoemen van die parallel is precies waarmee opdracht 20.8 aan het eind van het dagdeel afsluit.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Bemiddeling en beslechting.</w:t>
      </w:r>
      <w:r>
        <w:rPr>
          <w:rFonts w:ascii="Calibri" w:cs="Calibri" w:eastAsia="Calibri" w:hAnsi="Calibri"/>
          <w:b w:val="false"/>
          <w:bCs w:val="false"/>
          <w:i w:val="false"/>
          <w:iCs w:val="false"/>
          <w:sz w:val="22"/>
          <w:szCs w:val="22"/>
        </w:rPr>
        <w:t xml:space="preserve"> Kort. Het enige punt dat moet landen: bemiddeling is niet-bindend en sluit een vervolgtraject niet uit, maar de gang naar de rechter sluit de geschilleninstantie daarna wél uit. Bij opdracht 20.5c: laat zien dat “eerst het zachte traject proberen” een verstandige, laagdrempelige eerste keuze is zonder rechten te verliezen.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AFM en individuele klachten.</w:t>
      </w:r>
      <w:r>
        <w:rPr>
          <w:rFonts w:ascii="Calibri" w:cs="Calibri" w:eastAsia="Calibri" w:hAnsi="Calibri"/>
          <w:b w:val="false"/>
          <w:bCs w:val="false"/>
          <w:i w:val="false"/>
          <w:iCs w:val="false"/>
          <w:sz w:val="22"/>
          <w:szCs w:val="22"/>
        </w:rPr>
        <w:t xml:space="preserve"> Dit onderdeel corrigeert een veelvoorkomend misverstand. Vraag de zaal eerst: “wat denken jullie, doet de AFM iets met een individuele klacht?” — de meeste deelnemers verwachten van wel. Laat de correctie dan des te scherper landen: de AFM gebruikt het als signaal, maar beslecht het geschil niet. Dit is een belangrijk punt voor de adviespraktijk, omdat cliënten soms verwachten dat een AFM-melding hun individuele probleem oplost.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Afsluiting.</w:t>
      </w:r>
      <w:r>
        <w:rPr>
          <w:rFonts w:ascii="Calibri" w:cs="Calibri" w:eastAsia="Calibri" w:hAnsi="Calibri"/>
          <w:b w:val="false"/>
          <w:bCs w:val="false"/>
          <w:i w:val="false"/>
          <w:iCs w:val="false"/>
          <w:sz w:val="22"/>
          <w:szCs w:val="22"/>
        </w:rPr>
        <w:t xml:space="preserve"> Bouw de tabel uit opdracht 20.7 gezamenlijk op de flap op — dit is het visuele sluitstuk van het dagdeel en van het thema toezicht/geschillen in de hele cursus. Laat opdracht 20.8 als korte, individuele afsluitende reflectie maken; niet uitgebreid bespreken, maar wel opschrijven, zodat de koppeling expliciet wordt vastgelegd.</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als een geschil zowel over uitvoering als over totstandkoming lijkt te gaan?”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Dat komt voor en vraagt zorgvuldige juridische duiding — in de praktijk kan zo’n geschil gesplitst worden, met het uitvoeringsdeel naar de geschilleninstantie en het totstandkomingsdeel naar de rechter. Behandel dit als een grensgeval dat vakkundige beoordeling vergt, niet als een uitzondering die het hele onderscheid ondermijnt.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een uitspraak van GIP of Kifid hetzelfde als een rechterlijke uitspraak?”</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Bij bindende beslechting zijn beide partijen aan de uitspraak gebonden, vergelijkbaar met arbitrage — maar het is een ander traject dan de gewone rechtspraak, met eigen procedureregels en doorgaans een snellere, laagdrempeliger afhandeling.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“Kan een werkgever zelf een geschil bij GIP of Kifid indienen?”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 geschilleninstanties zijn primair gericht op deelnemers, gewezen deelnemers en pensioengerechtigden tegenover hun uitvoerder. Een werkgever met een geschil over de uitvoeringsovereenkomst zelf (deel 2) volgt een andere, contractuele route.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gebeurt er met een geschil dat tijdens de transitieperiode ontstaat maar over de oude regeling gaat?”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Het geschil wordt beoordeeld naar het recht en de regeling die op het moment van de betwiste gebeurtenis golden — de transitie zelf verandert niets aan de bevoegdheid van GIP of Kifid voor geschillen over de periode daarvóór.</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De tweedeling fondsen/verzekeraars nogmaals zichtbaar, nu toegepast op GIP/Kifid</w:t>
      </w:r>
    </w:p>
    <w:p>
      <w:pPr>
        <w:pStyle w:val="ListParagraph"/>
        <w:numPr>
          <w:ilvl w:val="0"/>
          <w:numId w:val="1"/>
        </w:numPr>
        <w:spacing w:after="80"/>
      </w:pPr>
      <w:r>
        <w:rPr>
          <w:rFonts w:ascii="Calibri" w:cs="Calibri" w:eastAsia="Calibri" w:hAnsi="Calibri"/>
          <w:sz w:val="22"/>
          <w:szCs w:val="22"/>
        </w:rPr>
        <w:t xml:space="preserve">De kernzin “uitvoering naar de geschilleninstantie, totstandkoming naar de rechter” groot op de flap</w:t>
      </w:r>
    </w:p>
    <w:p>
      <w:pPr>
        <w:pStyle w:val="ListParagraph"/>
        <w:numPr>
          <w:ilvl w:val="0"/>
          <w:numId w:val="1"/>
        </w:numPr>
        <w:spacing w:after="80"/>
      </w:pPr>
      <w:r>
        <w:rPr>
          <w:rFonts w:ascii="Calibri" w:cs="Calibri" w:eastAsia="Calibri" w:hAnsi="Calibri"/>
          <w:sz w:val="22"/>
          <w:szCs w:val="22"/>
        </w:rPr>
        <w:t xml:space="preserve">Drie casuskaartjes voor opdracht 20.7, met ruimte om gezamenlijk in te vullen</w:t>
      </w:r>
    </w:p>
    <w:p>
      <w:pPr>
        <w:pStyle w:val="ListParagraph"/>
        <w:numPr>
          <w:ilvl w:val="0"/>
          <w:numId w:val="1"/>
        </w:numPr>
        <w:spacing w:after="80"/>
      </w:pPr>
      <w:r>
        <w:rPr>
          <w:rFonts w:ascii="Calibri" w:cs="Calibri" w:eastAsia="Calibri" w:hAnsi="Calibri"/>
          <w:sz w:val="22"/>
          <w:szCs w:val="22"/>
        </w:rPr>
        <w:t xml:space="preserve">Actuele contactgegevens en werkwijze van GIP en Kifid paraat, voor wie meer wil weten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geen apart huiswerk; opdracht 20.8 is de afsluitende reflectie. Kondig deel 21 aan: het laatste deel van niveau 2, met examentraining en de capstone — een compleet adviesrapport voor Van Doorn Techniek dat alles van niveau 2 samenbrengt, op dezelfde manier waarop deel 10 niveau 1 afsloot.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2026-08-17T11:22:45.637Z</dcterms:created>
  <dcterms:modified xsi:type="dcterms:W3CDTF">2026-08-17T11:22:45.637Z</dcterms:modified>
</cp:coreProperties>
</file>

<file path=docProps/custom.xml><?xml version="1.0" encoding="utf-8"?>
<Properties xmlns="http://schemas.openxmlformats.org/officeDocument/2006/custom-properties" xmlns:vt="http://schemas.openxmlformats.org/officeDocument/2006/docPropsVTypes"/>
</file>