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20 — Toezicht, klachten en geschillen</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20 — Toezicht, klachten en geschillen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20.1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onderscheid tussen prudentieel en gedragstoezicht op elk voorgaand deel van deze cursus toepassen;</w:t>
      </w:r>
    </w:p>
    <w:p>
      <w:pPr>
        <w:pStyle w:val="ListParagraph"/>
        <w:numPr>
          <w:ilvl w:val="0"/>
          <w:numId w:val="1"/>
        </w:numPr>
        <w:spacing w:after="80"/>
      </w:pPr>
      <w:r>
        <w:rPr>
          <w:rFonts w:ascii="Calibri" w:cs="Calibri" w:eastAsia="Calibri" w:hAnsi="Calibri"/>
          <w:sz w:val="22"/>
          <w:szCs w:val="22"/>
        </w:rPr>
        <w:t xml:space="preserve">2. de interne klachtenprocedure en de externe geschilleninstanties (GIP en Kifid) correct toewijzen naar type uitvoerder;</w:t>
      </w:r>
    </w:p>
    <w:p>
      <w:pPr>
        <w:pStyle w:val="ListParagraph"/>
        <w:numPr>
          <w:ilvl w:val="0"/>
          <w:numId w:val="1"/>
        </w:numPr>
        <w:spacing w:after="80"/>
      </w:pPr>
      <w:r>
        <w:rPr>
          <w:rFonts w:ascii="Calibri" w:cs="Calibri" w:eastAsia="Calibri" w:hAnsi="Calibri"/>
          <w:sz w:val="22"/>
          <w:szCs w:val="22"/>
        </w:rPr>
        <w:t xml:space="preserve">3. het verschil tussen bemiddeling en (bindende) beslechting bij een geschil beschrijven;</w:t>
      </w:r>
    </w:p>
    <w:p>
      <w:pPr>
        <w:pStyle w:val="ListParagraph"/>
        <w:numPr>
          <w:ilvl w:val="0"/>
          <w:numId w:val="1"/>
        </w:numPr>
        <w:spacing w:after="80"/>
      </w:pPr>
      <w:r>
        <w:rPr>
          <w:rFonts w:ascii="Calibri" w:cs="Calibri" w:eastAsia="Calibri" w:hAnsi="Calibri"/>
          <w:sz w:val="22"/>
          <w:szCs w:val="22"/>
        </w:rPr>
        <w:t xml:space="preserve">4. de grenzen van de geschilleninstanties benoemen — welke geschillen wel, welke niet;</w:t>
      </w:r>
    </w:p>
    <w:p>
      <w:pPr>
        <w:pStyle w:val="ListParagraph"/>
        <w:numPr>
          <w:ilvl w:val="0"/>
          <w:numId w:val="1"/>
        </w:numPr>
        <w:spacing w:after="80"/>
      </w:pPr>
      <w:r>
        <w:rPr>
          <w:rFonts w:ascii="Calibri" w:cs="Calibri" w:eastAsia="Calibri" w:hAnsi="Calibri"/>
          <w:sz w:val="22"/>
          <w:szCs w:val="22"/>
        </w:rPr>
        <w:t xml:space="preserve">5. de rol van de AFM bij individuele klachten plaatsen, inclusief wat de AFM wél en niet doet;</w:t>
      </w:r>
    </w:p>
    <w:p>
      <w:pPr>
        <w:pStyle w:val="ListParagraph"/>
        <w:numPr>
          <w:ilvl w:val="0"/>
          <w:numId w:val="1"/>
        </w:numPr>
        <w:spacing w:after="80"/>
      </w:pPr>
      <w:r>
        <w:rPr>
          <w:rFonts w:ascii="Calibri" w:cs="Calibri" w:eastAsia="Calibri" w:hAnsi="Calibri"/>
          <w:sz w:val="22"/>
          <w:szCs w:val="22"/>
        </w:rPr>
        <w:t xml:space="preserve">6. voor een concreet geschil in het dossier van Van Doorn de juiste route bepalen.</w:t>
      </w:r>
    </w:p>
    <w:p>
      <w:pPr>
        <w:spacing w:after="100"/>
      </w:pPr>
    </w:p>
    <w:p>
      <w:pPr>
        <w:pStyle w:val="Heading2"/>
        <w:spacing w:after="120" w:before="200"/>
      </w:pPr>
      <w:r>
        <w:rPr>
          <w:rFonts w:ascii="Georgia" w:cs="Georgia" w:eastAsia="Georgia" w:hAnsi="Georgia"/>
          <w:b/>
          <w:bCs/>
          <w:color w:val="2563A8"/>
          <w:sz w:val="28"/>
          <w:szCs w:val="28"/>
        </w:rPr>
        <w:t xml:space="preserve">20.2 Waarom dit het laatste inhoudelijke deel van niveau 2 is</w:t>
      </w:r>
    </w:p>
    <w:p>
      <w:pPr>
        <w:spacing w:after="140" w:line="300"/>
      </w:pPr>
      <w:r>
        <w:rPr>
          <w:rFonts w:ascii="Calibri" w:cs="Calibri" w:eastAsia="Calibri" w:hAnsi="Calibri"/>
          <w:b w:val="false"/>
          <w:bCs w:val="false"/>
          <w:i w:val="false"/>
          <w:iCs w:val="false"/>
          <w:sz w:val="22"/>
          <w:szCs w:val="22"/>
        </w:rPr>
        <w:t xml:space="preserve">Elk deel van deze cursus behandelde een manier waarop iets kan misgaan: een verkeerde toets (deel 5), een vergeten compensatie-element (deel 7), een gemist dekkingsgat (deel 8), een datafout (deel 19). Dit deel behandelt wat er gebeurt als het toch misgaat en een deelnemer, werkgever of adviseur het er niet bij laat zitten. Het is daarmee het sluitstuk van niveau 2: na inhoud (11-13), proces (14-16), uitleg (17) en verantwoordelijkheid (18-19), nu het vangnet.</w:t>
      </w:r>
    </w:p>
    <w:p>
      <w:pPr>
        <w:spacing w:after="100"/>
      </w:pPr>
    </w:p>
    <w:p>
      <w:pPr>
        <w:pStyle w:val="Heading2"/>
        <w:spacing w:after="120" w:before="200"/>
      </w:pPr>
      <w:r>
        <w:rPr>
          <w:rFonts w:ascii="Georgia" w:cs="Georgia" w:eastAsia="Georgia" w:hAnsi="Georgia"/>
          <w:b/>
          <w:bCs/>
          <w:color w:val="2563A8"/>
          <w:sz w:val="28"/>
          <w:szCs w:val="28"/>
        </w:rPr>
        <w:t xml:space="preserve">20.3 Twee toezichthouders, twee soorten toezicht — herhaling met diepgang</w:t>
      </w:r>
    </w:p>
    <w:p>
      <w:pPr>
        <w:spacing w:after="140" w:line="300"/>
      </w:pPr>
      <w:r>
        <w:rPr>
          <w:rFonts w:ascii="Calibri" w:cs="Calibri" w:eastAsia="Calibri" w:hAnsi="Calibri"/>
          <w:b w:val="false"/>
          <w:bCs w:val="false"/>
          <w:i w:val="false"/>
          <w:iCs w:val="false"/>
          <w:sz w:val="22"/>
          <w:szCs w:val="22"/>
        </w:rPr>
        <w:t xml:space="preserve">Deel 1 introduceerde het onderscheid al kort: DNB houdt prudentieel toezicht, de AFM houdt gedragstoezicht. Dit deel werkt uit wat dat concreet betekent.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DNB — prudentieel toezicht.</w:t>
      </w:r>
      <w:r>
        <w:rPr>
          <w:rFonts w:ascii="Calibri" w:cs="Calibri" w:eastAsia="Calibri" w:hAnsi="Calibri"/>
          <w:b w:val="false"/>
          <w:bCs w:val="false"/>
          <w:i w:val="false"/>
          <w:iCs w:val="false"/>
          <w:sz w:val="22"/>
          <w:szCs w:val="22"/>
        </w:rPr>
        <w:t xml:space="preserve"> Is het geld er, en blijft het er? DNB beoordeelt de financiële soliditeit van fondsen en verzekeraars: dekkingsgraden, kapitaalbuffers, en — specifiek relevant voor deze cursus — de beoordeling van invaarbesluiten (deel 16), inclusief de dekkingsgraadgrenzen en de onderbouwing van de evenwichtige belangenafweging.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AFM — gedragstoezicht.</w:t>
      </w:r>
      <w:r>
        <w:rPr>
          <w:rFonts w:ascii="Calibri" w:cs="Calibri" w:eastAsia="Calibri" w:hAnsi="Calibri"/>
          <w:b w:val="false"/>
          <w:bCs w:val="false"/>
          <w:i w:val="false"/>
          <w:iCs w:val="false"/>
          <w:sz w:val="22"/>
          <w:szCs w:val="22"/>
        </w:rPr>
        <w:t xml:space="preserve"> Klopt wat er wordt verteld, en gebeurt het zorgvuldig? De AFM houdt toezicht op communicatie (deel 17), keuzebegeleiding (deel 17), zorgplicht en vergunningen (deel 18), en op de kwaliteit van transitieoverzichten.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 ze elkaar raken.</w:t>
      </w:r>
      <w:r>
        <w:rPr>
          <w:rFonts w:ascii="Calibri" w:cs="Calibri" w:eastAsia="Calibri" w:hAnsi="Calibri"/>
          <w:b w:val="false"/>
          <w:bCs w:val="false"/>
          <w:i w:val="false"/>
          <w:iCs w:val="false"/>
          <w:sz w:val="22"/>
          <w:szCs w:val="22"/>
        </w:rPr>
        <w:t xml:space="preserve"> Bij invaren bijvoorbeeld: DNB beoordeelt de financiële onderbouwing van het besluit, de AFM beoordeelt of de communicatie daarover aan deelnemers voldoet aan de normen. Eén operationele gebeurtenis, twee toezichthouders met elk hun eigen invalshoek — geen overlap, maar een aanvullende blik.</w:t>
      </w:r>
    </w:p>
    <w:p>
      <w:pPr>
        <w:spacing w:after="100"/>
      </w:pPr>
    </w:p>
    <w:p>
      <w:pPr>
        <w:pStyle w:val="Heading2"/>
        <w:spacing w:after="120" w:before="200"/>
      </w:pPr>
      <w:r>
        <w:rPr>
          <w:rFonts w:ascii="Georgia" w:cs="Georgia" w:eastAsia="Georgia" w:hAnsi="Georgia"/>
          <w:b/>
          <w:bCs/>
          <w:color w:val="2563A8"/>
          <w:sz w:val="28"/>
          <w:szCs w:val="28"/>
        </w:rPr>
        <w:t xml:space="preserve">20.4 De interne klachtenprocedure: verplicht en eerst</w:t>
      </w:r>
    </w:p>
    <w:p>
      <w:pPr>
        <w:spacing w:after="140" w:line="300"/>
      </w:pPr>
      <w:r>
        <w:rPr>
          <w:rFonts w:ascii="Calibri" w:cs="Calibri" w:eastAsia="Calibri" w:hAnsi="Calibri"/>
          <w:b w:val="false"/>
          <w:bCs w:val="false"/>
          <w:i w:val="false"/>
          <w:iCs w:val="false"/>
          <w:sz w:val="22"/>
          <w:szCs w:val="22"/>
        </w:rPr>
        <w:t xml:space="preserve">&lt;cite index=“113-1”&gt;De Wet toekomst pensioenen regelt dat elke pensioenuitvoerder een interne klachtenprocedure moet hebben.&lt;/cite&gt; &lt;cite index=“113-1”&gt;Onder een klacht wordt verstaan: elke uiting van ontevredenheid jegens een pensioenuitvoerder.&lt;/cite&gt;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Dit is altijd de eerste stap.</w:t>
      </w:r>
      <w:r>
        <w:rPr>
          <w:rFonts w:ascii="Calibri" w:cs="Calibri" w:eastAsia="Calibri" w:hAnsi="Calibri"/>
          <w:b w:val="false"/>
          <w:bCs w:val="false"/>
          <w:i w:val="false"/>
          <w:iCs w:val="false"/>
          <w:sz w:val="22"/>
          <w:szCs w:val="22"/>
        </w:rPr>
        <w:t xml:space="preserve"> &lt;cite index=“121-1”&gt;Een geschil moet eerst als klacht bij de uitvoerder zijn besproken, en de uitvoerder moet daarbij een definitief standpunt hebben ingenomen, voordat een externe geschilleninstantie het in behandeling kan nemen.&lt;/cite&gt; Sla je deze stap over, dan is er nog geen geschil om aan de externe instantie voor te leggen — alleen een klacht die nog niet is uitbehandeld.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Uitzondering.</w:t>
      </w:r>
      <w:r>
        <w:rPr>
          <w:rFonts w:ascii="Calibri" w:cs="Calibri" w:eastAsia="Calibri" w:hAnsi="Calibri"/>
          <w:b w:val="false"/>
          <w:bCs w:val="false"/>
          <w:i w:val="false"/>
          <w:iCs w:val="false"/>
          <w:sz w:val="22"/>
          <w:szCs w:val="22"/>
        </w:rPr>
        <w:t xml:space="preserve"> &lt;cite index=“113-1”&gt;Een deelnemer kan zich ook rechtstreeks tot de geschilleninstantie wenden als de uitvoerder niet reageert op een klacht of zich niet aan de wettelijke behandeltermijnen houdt.&lt;/cite&gt; Stilzitten door de uitvoerder is dus geen manier om een geschil buiten de deur te houden.</w:t>
      </w:r>
    </w:p>
    <w:p>
      <w:pPr>
        <w:spacing w:after="100"/>
      </w:pPr>
    </w:p>
    <w:p>
      <w:pPr>
        <w:pStyle w:val="Heading2"/>
        <w:spacing w:after="120" w:before="200"/>
      </w:pPr>
      <w:r>
        <w:rPr>
          <w:rFonts w:ascii="Georgia" w:cs="Georgia" w:eastAsia="Georgia" w:hAnsi="Georgia"/>
          <w:b/>
          <w:bCs/>
          <w:color w:val="2563A8"/>
          <w:sz w:val="28"/>
          <w:szCs w:val="28"/>
        </w:rPr>
        <w:t xml:space="preserve">20.5 GIP en Kifid: twee geschilleninstanties, verdeeld naar type uitvoerder</w:t>
      </w:r>
    </w:p>
    <w:p>
      <w:pPr>
        <w:spacing w:after="140" w:line="300"/>
      </w:pPr>
      <w:r>
        <w:rPr>
          <w:rFonts w:ascii="Calibri" w:cs="Calibri" w:eastAsia="Calibri" w:hAnsi="Calibri"/>
          <w:b w:val="false"/>
          <w:bCs w:val="false"/>
          <w:i w:val="false"/>
          <w:iCs w:val="false"/>
          <w:sz w:val="22"/>
          <w:szCs w:val="22"/>
        </w:rPr>
        <w:t xml:space="preserve">&lt;cite index=“113-1”&gt;Pensioenuitvoerders zijn verplicht aangesloten bij een onafhankelijke geschilleninstantie, aangewezen door de minister van SZW: de Geschilleninstantie Pensioenfondsen (GIP) voor pensioenfondsen, en Kifid voor verzekeraars en premiepensioeninstellingen.&lt;/cite&gt; &lt;cite index=“114-1”&gt;De GIP bestaat sinds 1 januari 2024.&lt;/cite&gt;</w:t>
      </w:r>
    </w:p>
    <w:p>
      <w:pPr>
        <w:spacing w:after="140" w:line="300"/>
      </w:pPr>
      <w:r>
        <w:rPr>
          <w:rFonts w:ascii="Calibri" w:cs="Calibri" w:eastAsia="Calibri" w:hAnsi="Calibri"/>
          <w:b w:val="false"/>
          <w:bCs w:val="false"/>
          <w:i w:val="false"/>
          <w:iCs w:val="false"/>
          <w:sz w:val="22"/>
          <w:szCs w:val="22"/>
        </w:rPr>
        <w:t xml:space="preserve">Dit is dezelfde tweedeling die door de hele cursus heen is gehanteerd — fondsen aan de ene kant, verzekeraars en PPI’s aan de andere — nu toegepast op de geschillenroute: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Kifid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Pensioenfondsen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Verzekeraars en PPI’s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Kosten voor de 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&lt;cite index=“117-1”&gt;Gratis&lt;/cite&gt;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 de regel gratis voor de consument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Reikwijdte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&lt;cite index=“113-1”&gt;Geschillen over de uitvoering van het pensioenreglement, inclusief invaren&lt;/cite&gt;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Geschillen over de uitvoering van de verzekerde regeling</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onder “uitvoering van het pensioenreglement” valt bij de GIP.</w:t>
      </w:r>
      <w:r>
        <w:rPr>
          <w:rFonts w:ascii="Calibri" w:cs="Calibri" w:eastAsia="Calibri" w:hAnsi="Calibri"/>
          <w:b w:val="false"/>
          <w:bCs w:val="false"/>
          <w:i w:val="false"/>
          <w:iCs w:val="false"/>
          <w:sz w:val="22"/>
          <w:szCs w:val="22"/>
        </w:rPr>
        <w:t xml:space="preserve"> &lt;cite index=“113-1”&gt;Hieronder wordt ook het invaren door middel van de collectieve waardeoverdracht bij een pensioenfonds begrepen. Een geschil over een invaarbesluit kan bijvoorbeeld gaan over de wijze waarop het besluit is toegepast op de individuele situatie van de deelnemer.&lt;/cite&gt;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er nadrukkelijk buiten valt.</w:t>
      </w:r>
      <w:r>
        <w:rPr>
          <w:rFonts w:ascii="Calibri" w:cs="Calibri" w:eastAsia="Calibri" w:hAnsi="Calibri"/>
          <w:b w:val="false"/>
          <w:bCs w:val="false"/>
          <w:i w:val="false"/>
          <w:iCs w:val="false"/>
          <w:sz w:val="22"/>
          <w:szCs w:val="22"/>
        </w:rPr>
        <w:t xml:space="preserve"> &lt;cite index=“113-1”&gt;Geschillen over de wijziging van de pensioenovereenkomst door sociale partners kunnen niet aan de geschilleninstantie worden voorgelegd — denk aan een geschil over het ontbreken van wederzijdse instemming, het ontbreken van een zwaarwegend belang van de werkgever, het ontbreken van OR-instemming, of het ontbreken van een redelijke voorziening.&lt;/cite&gt; &lt;cite index=“114-1”&gt;De GIP kan niet treden in de beleidsmatige keuzes van sociale partners — dat valt onder hun onderhandelingsvrijheid.&lt;/cite&gt;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onderscheid ertoe doet.</w:t>
      </w:r>
      <w:r>
        <w:rPr>
          <w:rFonts w:ascii="Calibri" w:cs="Calibri" w:eastAsia="Calibri" w:hAnsi="Calibri"/>
          <w:b w:val="false"/>
          <w:bCs w:val="false"/>
          <w:i w:val="false"/>
          <w:iCs w:val="false"/>
          <w:sz w:val="22"/>
          <w:szCs w:val="22"/>
        </w:rPr>
        <w:t xml:space="preserve"> Dit is een directe, praktische toepassing van het onderscheid uit deel 2 (de driehoek) en deel 7 (het transitieplan): een geschil over de </w:t>
      </w:r>
      <w:r>
        <w:rPr>
          <w:rFonts w:ascii="Calibri" w:cs="Calibri" w:eastAsia="Calibri" w:hAnsi="Calibri"/>
          <w:b/>
          <w:bCs/>
          <w:i w:val="false"/>
          <w:iCs w:val="false"/>
          <w:sz w:val="22"/>
          <w:szCs w:val="22"/>
        </w:rPr>
        <w:t xml:space="preserve">uitvoering</w:t>
      </w:r>
      <w:r>
        <w:rPr>
          <w:rFonts w:ascii="Calibri" w:cs="Calibri" w:eastAsia="Calibri" w:hAnsi="Calibri"/>
          <w:b w:val="false"/>
          <w:bCs w:val="false"/>
          <w:i w:val="false"/>
          <w:iCs w:val="false"/>
          <w:sz w:val="22"/>
          <w:szCs w:val="22"/>
        </w:rPr>
        <w:t xml:space="preserve"> van een eenmaal vastgestelde regeling gaat naar de geschilleninstantie; een geschil over de </w:t>
      </w:r>
      <w:r>
        <w:rPr>
          <w:rFonts w:ascii="Calibri" w:cs="Calibri" w:eastAsia="Calibri" w:hAnsi="Calibri"/>
          <w:b/>
          <w:bCs/>
          <w:i w:val="false"/>
          <w:iCs w:val="false"/>
          <w:sz w:val="22"/>
          <w:szCs w:val="22"/>
        </w:rPr>
        <w:t xml:space="preserve">totstandkoming</w:t>
      </w:r>
      <w:r>
        <w:rPr>
          <w:rFonts w:ascii="Calibri" w:cs="Calibri" w:eastAsia="Calibri" w:hAnsi="Calibri"/>
          <w:b w:val="false"/>
          <w:bCs w:val="false"/>
          <w:i w:val="false"/>
          <w:iCs w:val="false"/>
          <w:sz w:val="22"/>
          <w:szCs w:val="22"/>
        </w:rPr>
        <w:t xml:space="preserve"> van de arbeidsvoorwaardelijke keuze zelf (was de OR-instemming rechtsgeldig? was het transitieplan evenwichtig onderbouwd?) hoort thuis bij de civiele rechter, niet bij GIP of Kifid.</w:t>
      </w:r>
    </w:p>
    <w:p>
      <w:pPr>
        <w:spacing w:after="100"/>
      </w:pPr>
    </w:p>
    <w:p>
      <w:pPr>
        <w:pStyle w:val="Heading2"/>
        <w:spacing w:after="120" w:before="200"/>
      </w:pPr>
      <w:r>
        <w:rPr>
          <w:rFonts w:ascii="Georgia" w:cs="Georgia" w:eastAsia="Georgia" w:hAnsi="Georgia"/>
          <w:b/>
          <w:bCs/>
          <w:color w:val="2563A8"/>
          <w:sz w:val="28"/>
          <w:szCs w:val="28"/>
        </w:rPr>
        <w:t xml:space="preserve">20.6 Bemiddeling en beslechting</w:t>
      </w:r>
    </w:p>
    <w:p>
      <w:pPr>
        <w:spacing w:after="140" w:line="300"/>
      </w:pPr>
      <w:r>
        <w:rPr>
          <w:rFonts w:ascii="Calibri" w:cs="Calibri" w:eastAsia="Calibri" w:hAnsi="Calibri"/>
          <w:b w:val="false"/>
          <w:bCs w:val="false"/>
          <w:i w:val="false"/>
          <w:iCs w:val="false"/>
          <w:sz w:val="22"/>
          <w:szCs w:val="22"/>
        </w:rPr>
        <w:t xml:space="preserve">&lt;cite index=“114-1”&gt;Bij zowel de GIP als het Kifid kunnen deelnemers kiezen tussen bemiddeling en (bindende) beslechting.&lt;/cite&gt;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Bemiddeling.</w:t>
      </w:r>
      <w:r>
        <w:rPr>
          <w:rFonts w:ascii="Calibri" w:cs="Calibri" w:eastAsia="Calibri" w:hAnsi="Calibri"/>
          <w:b w:val="false"/>
          <w:bCs w:val="false"/>
          <w:i w:val="false"/>
          <w:iCs w:val="false"/>
          <w:sz w:val="22"/>
          <w:szCs w:val="22"/>
        </w:rPr>
        <w:t xml:space="preserve"> &lt;cite index=“117-1”&gt;Er wordt gezocht naar een oplossing waarin de deelnemer en de uitvoerder zich beide kunnen vinden&lt;/cite&gt; — bij de GIP uitgevoerd door de Ombudsman Pensioenen. Dit is een niet-bindend traject: leidt het niet tot een oplossing, dan blijft de weg naar beslechting open.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Beslechting.</w:t>
      </w:r>
      <w:r>
        <w:rPr>
          <w:rFonts w:ascii="Calibri" w:cs="Calibri" w:eastAsia="Calibri" w:hAnsi="Calibri"/>
          <w:b w:val="false"/>
          <w:bCs w:val="false"/>
          <w:i w:val="false"/>
          <w:iCs w:val="false"/>
          <w:sz w:val="22"/>
          <w:szCs w:val="22"/>
        </w:rPr>
        <w:t xml:space="preserve"> &lt;cite index=“117-1”&gt;Na het verzamelen van alle informatie komt de geschilleninstantie met een uitspraak&lt;/cite&gt;, die &lt;cite index=“114-1”&gt;bindend of niet-bindend kan zijn — bij bindende beslechting zijn beide partijen aan de uitspraak gebonden.&lt;/cite&gt;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route naar de rechter blijft altijd openstaan</w:t>
      </w:r>
      <w:r>
        <w:rPr>
          <w:rFonts w:ascii="Calibri" w:cs="Calibri" w:eastAsia="Calibri" w:hAnsi="Calibri"/>
          <w:b w:val="false"/>
          <w:bCs w:val="false"/>
          <w:i w:val="false"/>
          <w:iCs w:val="false"/>
          <w:sz w:val="22"/>
          <w:szCs w:val="22"/>
        </w:rPr>
        <w:t xml:space="preserve"> als alternatief, met één belangrijke kanttekening: &lt;cite index=“116-1”&gt;ga je naar de rechter, dan kun je niet daarna alsnog naar de geschilleninstantie gaan.&lt;/cite&gt; Deze twee routes sluiten elkaar dus wederzijds uit zodra je voor de rechter kiest.</w:t>
      </w:r>
    </w:p>
    <w:p>
      <w:pPr>
        <w:spacing w:after="100"/>
      </w:pPr>
    </w:p>
    <w:p>
      <w:pPr>
        <w:pStyle w:val="Heading2"/>
        <w:spacing w:after="120" w:before="200"/>
      </w:pPr>
      <w:r>
        <w:rPr>
          <w:rFonts w:ascii="Georgia" w:cs="Georgia" w:eastAsia="Georgia" w:hAnsi="Georgia"/>
          <w:b/>
          <w:bCs/>
          <w:color w:val="2563A8"/>
          <w:sz w:val="28"/>
          <w:szCs w:val="28"/>
        </w:rPr>
        <w:t xml:space="preserve">20.7 De rol van de AFM bij individuele klachten</w:t>
      </w:r>
    </w:p>
    <w:p>
      <w:pPr>
        <w:spacing w:after="140" w:line="300"/>
      </w:pPr>
      <w:r>
        <w:rPr>
          <w:rFonts w:ascii="Calibri" w:cs="Calibri" w:eastAsia="Calibri" w:hAnsi="Calibri"/>
          <w:b w:val="false"/>
          <w:bCs w:val="false"/>
          <w:i w:val="false"/>
          <w:iCs w:val="false"/>
          <w:sz w:val="22"/>
          <w:szCs w:val="22"/>
        </w:rPr>
        <w:t xml:space="preserve">Een veelvoorkomend misverstand: dat de AFM zelf individuele geschillen behandelt. Dat is niet zo. &lt;cite index=“122-1”&gt;De AFM mag wettelijk niet treden in individuele gevallen; zij beoordeelt een klacht als een toezichtsignaal en verwijst de klager door naar het Kifid of de Ombudsman Pensioenen.&lt;/cite&gt; &lt;cite index=“116-1”&gt;De AFM gebruikt klachten in haar toezicht, maar treedt niet op in individuele gevallen.&lt;/cite&gt;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de AFM wél doet met klachten en signalen.</w:t>
      </w:r>
      <w:r>
        <w:rPr>
          <w:rFonts w:ascii="Calibri" w:cs="Calibri" w:eastAsia="Calibri" w:hAnsi="Calibri"/>
          <w:b w:val="false"/>
          <w:bCs w:val="false"/>
          <w:i w:val="false"/>
          <w:iCs w:val="false"/>
          <w:sz w:val="22"/>
          <w:szCs w:val="22"/>
        </w:rPr>
        <w:t xml:space="preserve"> Zij gebruikt het patroon van meldingen om te bepalen waar zij haar toezichtsaandacht op richt — een individuele klacht wordt zo onderdeel van een breder toezichtsbeeld, ook al krijgt de individuele klager zelf geen inhoudelijke beslissing van de AFM.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 de AFM wél direct over gaat.</w:t>
      </w:r>
      <w:r>
        <w:rPr>
          <w:rFonts w:ascii="Calibri" w:cs="Calibri" w:eastAsia="Calibri" w:hAnsi="Calibri"/>
          <w:b w:val="false"/>
          <w:bCs w:val="false"/>
          <w:i w:val="false"/>
          <w:iCs w:val="false"/>
          <w:sz w:val="22"/>
          <w:szCs w:val="22"/>
        </w:rPr>
        <w:t xml:space="preserve"> &lt;cite index=“116-1”&gt;Klachten over informatie die de pensioenuitvoerder geeft en die niet correct, duidelijk, evenwichtig of tijdig is, en klachten over naleving van de zorgplicht&lt;/cite&gt; — de onderwerpen uit deel 17 en 18 — vallen onder haar aandachtsgebied als toezichtsignaal, ook zonder dat zij het individuele geval zelf beslecht.</w:t>
      </w:r>
    </w:p>
    <w:p>
      <w:pPr>
        <w:spacing w:after="100"/>
      </w:pPr>
    </w:p>
    <w:p>
      <w:pPr>
        <w:pStyle w:val="Heading2"/>
        <w:spacing w:after="120" w:before="200"/>
      </w:pPr>
      <w:r>
        <w:rPr>
          <w:rFonts w:ascii="Georgia" w:cs="Georgia" w:eastAsia="Georgia" w:hAnsi="Georgia"/>
          <w:b/>
          <w:bCs/>
          <w:color w:val="2563A8"/>
          <w:sz w:val="28"/>
          <w:szCs w:val="28"/>
        </w:rPr>
        <w:t xml:space="preserve">20.8 Toegepast: drie geschillen in het dossier van Van Doorn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Geschil 1 — Karel is het niet eens met de berekening van zijn nieuwe nabestaandenpensioen.</w:t>
      </w:r>
      <w:r>
        <w:rPr>
          <w:rFonts w:ascii="Calibri" w:cs="Calibri" w:eastAsia="Calibri" w:hAnsi="Calibri"/>
          <w:b w:val="false"/>
          <w:bCs w:val="false"/>
          <w:i w:val="false"/>
          <w:iCs w:val="false"/>
          <w:sz w:val="22"/>
          <w:szCs w:val="22"/>
        </w:rPr>
        <w:t xml:space="preserve"> Route: eerst een klacht bij Meridiaan (interne klachtenprocedure), bij geen bevredigende oplossing door naar Kifid (Meridiaan is een verzekeraar) — met de keuze tussen bemiddeling en beslechting.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Geschil 2 — Ilse (OR) meent dat de OR onvoldoende is betrokken bij de keuze voor de nieuwe regeling.</w:t>
      </w:r>
      <w:r>
        <w:rPr>
          <w:rFonts w:ascii="Calibri" w:cs="Calibri" w:eastAsia="Calibri" w:hAnsi="Calibri"/>
          <w:b w:val="false"/>
          <w:bCs w:val="false"/>
          <w:i w:val="false"/>
          <w:iCs w:val="false"/>
          <w:sz w:val="22"/>
          <w:szCs w:val="22"/>
        </w:rPr>
        <w:t xml:space="preserve"> Dit gaat over de </w:t>
      </w:r>
      <w:r>
        <w:rPr>
          <w:rFonts w:ascii="Calibri" w:cs="Calibri" w:eastAsia="Calibri" w:hAnsi="Calibri"/>
          <w:b/>
          <w:bCs/>
          <w:i w:val="false"/>
          <w:iCs w:val="false"/>
          <w:sz w:val="22"/>
          <w:szCs w:val="22"/>
        </w:rPr>
        <w:t xml:space="preserve">totstandkoming</w:t>
      </w:r>
      <w:r>
        <w:rPr>
          <w:rFonts w:ascii="Calibri" w:cs="Calibri" w:eastAsia="Calibri" w:hAnsi="Calibri"/>
          <w:b w:val="false"/>
          <w:bCs w:val="false"/>
          <w:i w:val="false"/>
          <w:iCs w:val="false"/>
          <w:sz w:val="22"/>
          <w:szCs w:val="22"/>
        </w:rPr>
        <w:t xml:space="preserve"> van de arbeidsvoorwaardelijke wijziging, niet over de uitvoering van een al vastgestelde regeling. Route: niet naar Kifid, maar naar de kantonrechter — exact de route die al in deel 2 werd genoemd bij de bespreking van vervangende toestemming.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Geschil 3 — Bpf T&amp;I-deelnemer meent dat zijn invaarbesluit onjuist op zijn situatie is toegepast.</w:t>
      </w:r>
      <w:r>
        <w:rPr>
          <w:rFonts w:ascii="Calibri" w:cs="Calibri" w:eastAsia="Calibri" w:hAnsi="Calibri"/>
          <w:b w:val="false"/>
          <w:bCs w:val="false"/>
          <w:i w:val="false"/>
          <w:iCs w:val="false"/>
          <w:sz w:val="22"/>
          <w:szCs w:val="22"/>
        </w:rPr>
        <w:t xml:space="preserve"> Route: eerst een klacht bij het fonds, dan naar de GIP — dit valt uitdrukkelijk onder “uitvoering van het pensioenreglement, inclusief invaren.”</w:t>
      </w:r>
    </w:p>
    <w:p>
      <w:pPr>
        <w:spacing w:after="140" w:line="300"/>
      </w:pPr>
      <w:r>
        <w:rPr>
          <w:rFonts w:ascii="Calibri" w:cs="Calibri" w:eastAsia="Calibri" w:hAnsi="Calibri"/>
          <w:b w:val="false"/>
          <w:bCs w:val="false"/>
          <w:i w:val="false"/>
          <w:iCs w:val="false"/>
          <w:sz w:val="22"/>
          <w:szCs w:val="22"/>
        </w:rPr>
        <w:t xml:space="preserve">Deze drie geschillen, ogenschijnlijk vergelijkbaar (“ik ben het er niet mee eens”), volgen drie verschillende routes — precies zoals in deel 16 werd vastgesteld dat drie ogenschijnlijk vergelijkbare “mijn pensioen gaat over”-situaties drie verschillende rechtsposities opleveren. Het is dezelfde onderliggende les, nu toegepast op wat er gebeurt als iemand het er niet bij laat zitten.</w:t>
      </w:r>
    </w:p>
    <w:p>
      <w:pPr>
        <w:spacing w:after="100"/>
      </w:pPr>
    </w:p>
    <w:p>
      <w:pPr>
        <w:pStyle w:val="Heading2"/>
        <w:spacing w:after="120" w:before="200"/>
      </w:pPr>
      <w:r>
        <w:rPr>
          <w:rFonts w:ascii="Georgia" w:cs="Georgia" w:eastAsia="Georgia" w:hAnsi="Georgia"/>
          <w:b/>
          <w:bCs/>
          <w:color w:val="2563A8"/>
          <w:sz w:val="28"/>
          <w:szCs w:val="28"/>
        </w:rPr>
        <w:t xml:space="preserve">20.9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Prudentieel toezicht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Toezicht van DNB op financiële soliditeit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Gedragstoezicht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Toezicht van de AFM op zorgvuldig en eerlijk handelen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Interne klachtenprocedure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Verplichte eerste stap bij elke pensioenuitvoerder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Geschilleninstantie Pensioenfondsen, voor fondsen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Kifid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Geschilleninstantie voor verzekeraars en PPI’s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Bemiddeling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Niet-bindende zoektocht naar een oplossing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Beslechting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Uitspraak van de geschilleninstantie, bindend of niet-bindend</w:t>
            </w:r>
          </w:p>
        </w:tc>
      </w:tr>
    </w:tbl>
    <w:p>
      <w:pPr>
        <w:spacing w:after="100"/>
      </w:pPr>
    </w:p>
    <w:p>
      <w:pPr>
        <w:pStyle w:val="Heading2"/>
        <w:spacing w:after="120" w:before="200"/>
      </w:pPr>
      <w:r>
        <w:rPr>
          <w:rFonts w:ascii="Georgia" w:cs="Georgia" w:eastAsia="Georgia" w:hAnsi="Georgia"/>
          <w:b/>
          <w:bCs/>
          <w:color w:val="2563A8"/>
          <w:sz w:val="28"/>
          <w:szCs w:val="28"/>
        </w:rPr>
        <w:t xml:space="preserve">20.10 Samenvatting</w:t>
      </w:r>
    </w:p>
    <w:p>
      <w:pPr>
        <w:pStyle w:val="ListParagraph"/>
        <w:numPr>
          <w:ilvl w:val="0"/>
          <w:numId w:val="1"/>
        </w:numPr>
        <w:spacing w:after="80"/>
      </w:pPr>
      <w:r>
        <w:rPr>
          <w:rFonts w:ascii="Calibri" w:cs="Calibri" w:eastAsia="Calibri" w:hAnsi="Calibri"/>
          <w:sz w:val="22"/>
          <w:szCs w:val="22"/>
        </w:rPr>
        <w:t xml:space="preserve">DNB en AFM houden elk een eigen soort toezicht: financiële soliditeit versus zorgvuldig gedrag; bij transities raken beide elkaar zonder te overlappen.</w:t>
      </w:r>
    </w:p>
    <w:p>
      <w:pPr>
        <w:pStyle w:val="ListParagraph"/>
        <w:numPr>
          <w:ilvl w:val="0"/>
          <w:numId w:val="1"/>
        </w:numPr>
        <w:spacing w:after="80"/>
      </w:pPr>
      <w:r>
        <w:rPr>
          <w:rFonts w:ascii="Calibri" w:cs="Calibri" w:eastAsia="Calibri" w:hAnsi="Calibri"/>
          <w:sz w:val="22"/>
          <w:szCs w:val="22"/>
        </w:rPr>
        <w:t xml:space="preserve">Elke pensioenuitvoerder moet een interne klachtenprocedure hebben; dit is altijd de verplichte eerste stap, behalve bij stilzitten of termijnoverschrijding door de uitvoerder.</w:t>
      </w:r>
    </w:p>
    <w:p>
      <w:pPr>
        <w:pStyle w:val="ListParagraph"/>
        <w:numPr>
          <w:ilvl w:val="0"/>
          <w:numId w:val="1"/>
        </w:numPr>
        <w:spacing w:after="80"/>
      </w:pPr>
      <w:r>
        <w:rPr>
          <w:rFonts w:ascii="Calibri" w:cs="Calibri" w:eastAsia="Calibri" w:hAnsi="Calibri"/>
          <w:sz w:val="22"/>
          <w:szCs w:val="22"/>
        </w:rPr>
        <w:t xml:space="preserve">GIP behandelt geschillen bij fondsen, Kifid bij verzekeraars en PPI’s — beide alleen over de uitvoering van het reglement, niet over de totstandkoming van de arbeidsvoorwaardelijke keuze zelf.</w:t>
      </w:r>
    </w:p>
    <w:p>
      <w:pPr>
        <w:pStyle w:val="ListParagraph"/>
        <w:numPr>
          <w:ilvl w:val="0"/>
          <w:numId w:val="1"/>
        </w:numPr>
        <w:spacing w:after="80"/>
      </w:pPr>
      <w:r>
        <w:rPr>
          <w:rFonts w:ascii="Calibri" w:cs="Calibri" w:eastAsia="Calibri" w:hAnsi="Calibri"/>
          <w:sz w:val="22"/>
          <w:szCs w:val="22"/>
        </w:rPr>
        <w:t xml:space="preserve">Bemiddeling en beslechting zijn twee verschillende trajecten binnen dezelfde geschilleninstantie; de rechter en de geschilleninstantie sluiten elkaar wederzijds uit.</w:t>
      </w:r>
    </w:p>
    <w:p>
      <w:pPr>
        <w:pStyle w:val="ListParagraph"/>
        <w:numPr>
          <w:ilvl w:val="0"/>
          <w:numId w:val="1"/>
        </w:numPr>
        <w:spacing w:after="80"/>
      </w:pPr>
      <w:r>
        <w:rPr>
          <w:rFonts w:ascii="Calibri" w:cs="Calibri" w:eastAsia="Calibri" w:hAnsi="Calibri"/>
          <w:sz w:val="22"/>
          <w:szCs w:val="22"/>
        </w:rPr>
        <w:t xml:space="preserve">De AFM behandelt geen individuele klachten inhoudelijk, maar gebruikt ze als toezichtsignaal.</w:t>
      </w:r>
    </w:p>
    <w:p>
      <w:pPr>
        <w:pStyle w:val="ListParagraph"/>
        <w:numPr>
          <w:ilvl w:val="0"/>
          <w:numId w:val="1"/>
        </w:numPr>
        <w:spacing w:after="80"/>
      </w:pPr>
      <w:r>
        <w:rPr>
          <w:rFonts w:ascii="Calibri" w:cs="Calibri" w:eastAsia="Calibri" w:hAnsi="Calibri"/>
          <w:sz w:val="22"/>
          <w:szCs w:val="22"/>
        </w:rPr>
        <w:t xml:space="preserve">Drie ogenschijnlijk vergelijkbare geschillen in het dossier van Van Doorn volgen drie verschillende routes, precies zoals eerder bij invaren en waardeoverdracht (deel 16) werd vastgesteld.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21.</w:t>
      </w:r>
      <w:r>
        <w:rPr>
          <w:rFonts w:ascii="Calibri" w:cs="Calibri" w:eastAsia="Calibri" w:hAnsi="Calibri"/>
          <w:b w:val="false"/>
          <w:bCs w:val="false"/>
          <w:i w:val="false"/>
          <w:iCs w:val="false"/>
          <w:sz w:val="22"/>
          <w:szCs w:val="22"/>
        </w:rPr>
        <w:t xml:space="preserve"> Hiermee is de inhoudelijke opbouw van niveau 2 compleet: van fiscaal rekenwerk tot toezicht, elke schakel van het vak is behandeld. Deel 21 sluit niveau 2 af met examentraining en de capstone: een compleet adviesrapport voor Van Doorn Techniek dat alle elf voorgaande delen van dit niveau samenbrengt.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2026-08-17T11:22:45.589Z</dcterms:created>
  <dcterms:modified xsi:type="dcterms:W3CDTF">2026-08-17T11:22:45.589Z</dcterms:modified>
</cp:coreProperties>
</file>

<file path=docProps/custom.xml><?xml version="1.0" encoding="utf-8"?>
<Properties xmlns="http://schemas.openxmlformats.org/officeDocument/2006/custom-properties" xmlns:vt="http://schemas.openxmlformats.org/officeDocument/2006/docPropsVTypes"/>
</file>