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20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20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20.1 — DNB of AFM</w:t>
      </w:r>
    </w:p>
    <w:p>
      <w:pPr>
        <w:spacing w:after="140" w:line="300"/>
      </w:pPr>
      <w:r>
        <w:rPr>
          <w:rFonts w:ascii="Calibri" w:cs="Calibri" w:eastAsia="Calibri" w:hAnsi="Calibri"/>
          <w:b w:val="false"/>
          <w:bCs w:val="false"/>
          <w:i w:val="false"/>
          <w:iCs w:val="false"/>
          <w:sz w:val="22"/>
          <w:szCs w:val="22"/>
        </w:rPr>
        <w:t xml:space="preserve">Bij welke toezichthouder hoort elk van deze onderwerpen primair?</w:t>
      </w:r>
    </w:p>
    <w:p>
      <w:pPr>
        <w:spacing w:after="140" w:line="300"/>
      </w:pPr>
      <w:r>
        <w:rPr>
          <w:rFonts w:ascii="Calibri" w:cs="Calibri" w:eastAsia="Calibri" w:hAnsi="Calibri"/>
          <w:b w:val="false"/>
          <w:bCs w:val="false"/>
          <w:i w:val="false"/>
          <w:iCs w:val="false"/>
          <w:sz w:val="22"/>
          <w:szCs w:val="22"/>
        </w:rPr>
        <w:t xml:space="preserve">a. De dekkingsgraad van Bpf T&amp;I op het moment van invaren.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kwaliteit van het definitieve transitieoverzicht dat Meridiaan naar Karel stuurt.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Of Meridiaan voldoende kapitaal aanhoudt voor haar gegarandeerde producten.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Of een medewerker van Meridiaan de grens tussen keuzebegeleiding en advies heeft overschreden (deel 17 en 18).</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DNB (financiële soliditeit, dekkingsgraadgrenzen uit deel 16). b: AFM (communicatiekwaliteit, deel 17). c: DNB (kapitaaleisen, Solvency II, deel 1 en 12). d: AFM (gedragstoezicht, zorgplicht en vergunningen, deel 18).</w:t>
            </w:r>
          </w:p>
        </w:tc>
      </w:tr>
    </w:tbl>
    <w:p>
      <w:pPr>
        <w:spacing w:after="100"/>
      </w:pPr>
    </w:p>
    <w:p>
      <w:pPr>
        <w:pStyle w:val="Heading2"/>
        <w:spacing w:after="120" w:before="200"/>
      </w:pPr>
      <w:r>
        <w:rPr>
          <w:rFonts w:ascii="Georgia" w:cs="Georgia" w:eastAsia="Georgia" w:hAnsi="Georgia"/>
          <w:b/>
          <w:bCs/>
          <w:color w:val="2563A8"/>
          <w:sz w:val="28"/>
          <w:szCs w:val="28"/>
        </w:rPr>
        <w:t xml:space="preserve">Opdracht 20.2 — De verplichte volgorde</w:t>
      </w:r>
    </w:p>
    <w:p>
      <w:pPr>
        <w:spacing w:after="140" w:line="300"/>
      </w:pPr>
      <w:r>
        <w:rPr>
          <w:rFonts w:ascii="Calibri" w:cs="Calibri" w:eastAsia="Calibri" w:hAnsi="Calibri"/>
          <w:b w:val="false"/>
          <w:bCs w:val="false"/>
          <w:i w:val="false"/>
          <w:iCs w:val="false"/>
          <w:sz w:val="22"/>
          <w:szCs w:val="22"/>
        </w:rPr>
        <w:t xml:space="preserve">Karel wil een geschil over zijn nabestaandenpensioen aanhangig maken bij Kifid, zonder eerst een klacht bij Meridiaan in te dienen.</w:t>
      </w:r>
    </w:p>
    <w:p>
      <w:pPr>
        <w:spacing w:after="140" w:line="300"/>
      </w:pPr>
      <w:r>
        <w:rPr>
          <w:rFonts w:ascii="Calibri" w:cs="Calibri" w:eastAsia="Calibri" w:hAnsi="Calibri"/>
          <w:b w:val="false"/>
          <w:bCs w:val="false"/>
          <w:i w:val="false"/>
          <w:iCs w:val="false"/>
          <w:sz w:val="22"/>
          <w:szCs w:val="22"/>
        </w:rPr>
        <w:t xml:space="preserve">a. Kan dat?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enige uitzondering waarbij dit toch zou kunnen?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een geschil moet eerst als klacht bij de uitvoerder zijn ingediend en behandeld, met een definitief standpunt van de uitvoerder, voordat het als geschil aan Kifid kan worden voorgelegd.</w:t>
      </w:r>
    </w:p>
    <w:p>
      <w:pPr>
        <w:spacing w:after="140" w:line="300"/>
      </w:pPr>
      <w:r>
        <w:rPr>
          <w:rFonts w:ascii="Calibri" w:cs="Calibri" w:eastAsia="Calibri" w:hAnsi="Calibri"/>
          <w:b w:val="false"/>
          <w:bCs w:val="false"/>
          <w:i w:val="false"/>
          <w:iCs w:val="false"/>
          <w:sz w:val="22"/>
          <w:szCs w:val="22"/>
        </w:rPr>
        <w:t xml:space="preserve">b. Als Meridiaan niet reageert op zijn klacht, of zich niet houdt aan de wettelijke behandeltermijnen — dan kan Karel zich alsnog rechtstreeks tot Kifid wenden.</w:t>
      </w:r>
    </w:p>
    <w:p>
      <w:pPr>
        <w:spacing w:after="100"/>
      </w:pPr>
    </w:p>
    <w:p>
      <w:pPr>
        <w:pStyle w:val="Heading2"/>
        <w:spacing w:after="120" w:before="200"/>
      </w:pPr>
      <w:r>
        <w:rPr>
          <w:rFonts w:ascii="Georgia" w:cs="Georgia" w:eastAsia="Georgia" w:hAnsi="Georgia"/>
          <w:b/>
          <w:bCs/>
          <w:color w:val="2563A8"/>
          <w:sz w:val="28"/>
          <w:szCs w:val="28"/>
        </w:rPr>
        <w:t xml:space="preserve">Opdracht 20.3 — GIP of Kifid</w:t>
      </w:r>
    </w:p>
    <w:p>
      <w:pPr>
        <w:spacing w:after="140" w:line="300"/>
      </w:pPr>
      <w:r>
        <w:rPr>
          <w:rFonts w:ascii="Calibri" w:cs="Calibri" w:eastAsia="Calibri" w:hAnsi="Calibri"/>
          <w:b w:val="false"/>
          <w:bCs w:val="false"/>
          <w:i w:val="false"/>
          <w:iCs w:val="false"/>
          <w:sz w:val="22"/>
          <w:szCs w:val="22"/>
        </w:rPr>
        <w:t xml:space="preserve">Voor elke situatie: GIP of Kifid?</w:t>
      </w:r>
    </w:p>
    <w:p>
      <w:pPr>
        <w:spacing w:after="140" w:line="300"/>
      </w:pPr>
      <w:r>
        <w:rPr>
          <w:rFonts w:ascii="Calibri" w:cs="Calibri" w:eastAsia="Calibri" w:hAnsi="Calibri"/>
          <w:b w:val="false"/>
          <w:bCs w:val="false"/>
          <w:i w:val="false"/>
          <w:iCs w:val="false"/>
          <w:sz w:val="22"/>
          <w:szCs w:val="22"/>
        </w:rPr>
        <w:t xml:space="preserve">a. Een gepensioneerde van Bpf T&amp;I is het niet eens met de hoogte van zijn ingevaren 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deelnemer bij Delta Chemie (ondernemingspensioenfonds) heeft een klacht over een te laat verstuurd UPO.</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medewerker van Van Doorn heeft een klacht over de premie-inhouding door Meridiaan.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gewezen deelnemer van een PPI is het niet eens met de toegepaste lifecycle-instelling.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GIP (pensioenfonds). b: GIP (ondernemingspensioenfonds is ook een fonds). c: Kifid (verzekeraar). d: Kifid (PPI).</w:t>
            </w:r>
          </w:p>
        </w:tc>
      </w:tr>
    </w:tbl>
    <w:p>
      <w:pPr>
        <w:spacing w:after="100"/>
      </w:pPr>
    </w:p>
    <w:p>
      <w:pPr>
        <w:pStyle w:val="Heading2"/>
        <w:spacing w:after="120" w:before="200"/>
      </w:pPr>
      <w:r>
        <w:rPr>
          <w:rFonts w:ascii="Georgia" w:cs="Georgia" w:eastAsia="Georgia" w:hAnsi="Georgia"/>
          <w:b/>
          <w:bCs/>
          <w:color w:val="2563A8"/>
          <w:sz w:val="28"/>
          <w:szCs w:val="28"/>
        </w:rPr>
        <w:t xml:space="preserve">Opdracht 20.4 — Wel of niet naar de geschilleninstantie</w:t>
      </w:r>
    </w:p>
    <w:p>
      <w:pPr>
        <w:spacing w:after="140" w:line="300"/>
      </w:pPr>
      <w:r>
        <w:rPr>
          <w:rFonts w:ascii="Calibri" w:cs="Calibri" w:eastAsia="Calibri" w:hAnsi="Calibri"/>
          <w:b w:val="false"/>
          <w:bCs w:val="false"/>
          <w:i w:val="false"/>
          <w:iCs w:val="false"/>
          <w:sz w:val="22"/>
          <w:szCs w:val="22"/>
        </w:rPr>
        <w:t xml:space="preserve">Beoordeel of elk geschil binnen de bevoegdheid van GIP/Kifid valt, of dat een andere route (zoals de kantonrechter) nodig is.</w:t>
      </w:r>
    </w:p>
    <w:p>
      <w:pPr>
        <w:spacing w:after="140" w:line="300"/>
      </w:pPr>
      <w:r>
        <w:rPr>
          <w:rFonts w:ascii="Calibri" w:cs="Calibri" w:eastAsia="Calibri" w:hAnsi="Calibri"/>
          <w:b w:val="false"/>
          <w:bCs w:val="false"/>
          <w:i w:val="false"/>
          <w:iCs w:val="false"/>
          <w:sz w:val="22"/>
          <w:szCs w:val="22"/>
        </w:rPr>
        <w:t xml:space="preserve">a. Een deelnemer is het niet eens met de manier waarop zijn individuele aanspraak is omgerekend bij invaren.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OR van Van Doorn meent dat zij nooit correct is geraadpleegd vóór de nieuwe regeling werd vastgesteld.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deelnemer krijgt een compensatiebedrag dat volgens hem niet overeenkomt met wat het transitieplan beschrijft.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Sociale partners van een sector kunnen het onderling niet eens worden over de hoogte van de compensatie.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valt binnen de bevoegdheid — dit gaat over de uitvoering (individuele toepassing) van het invaarbesluit. b: valt buiten de bevoegdheid — dit gaat over het ontbreken van (rechtsgeldige) instemming bij de totstandkoming, een zaak voor de kantonrechter. c: valt in beginsel binnen de bevoegdheid — een geschil over de uitvoering van een reeds vastgestelde compensatieafspraak. d: valt volledig buiten de bevoegdheid van beide geschilleninstanties — dit is een beleidsmatige keuze van sociale partners binnen hun onderhandelingsvrijheid.</w:t>
            </w:r>
          </w:p>
        </w:tc>
      </w:tr>
    </w:tbl>
    <w:p>
      <w:pPr>
        <w:spacing w:after="140" w:line="300"/>
      </w:pPr>
      <w:r>
        <w:rPr>
          <w:rFonts w:ascii="Calibri" w:cs="Calibri" w:eastAsia="Calibri" w:hAnsi="Calibri"/>
          <w:b w:val="false"/>
          <w:bCs w:val="false"/>
          <w:i w:val="false"/>
          <w:iCs w:val="false"/>
          <w:sz w:val="22"/>
          <w:szCs w:val="22"/>
        </w:rPr>
        <w:t xml:space="preserve">Casus c is de subtielste: het gaat over de </w:t>
      </w:r>
      <w:r>
        <w:rPr>
          <w:rFonts w:ascii="Calibri" w:cs="Calibri" w:eastAsia="Calibri" w:hAnsi="Calibri"/>
          <w:b/>
          <w:bCs/>
          <w:i w:val="false"/>
          <w:iCs w:val="false"/>
          <w:sz w:val="22"/>
          <w:szCs w:val="22"/>
        </w:rPr>
        <w:t xml:space="preserve">toepassing</w:t>
      </w:r>
      <w:r>
        <w:rPr>
          <w:rFonts w:ascii="Calibri" w:cs="Calibri" w:eastAsia="Calibri" w:hAnsi="Calibri"/>
          <w:b w:val="false"/>
          <w:bCs w:val="false"/>
          <w:i w:val="false"/>
          <w:iCs w:val="false"/>
          <w:sz w:val="22"/>
          <w:szCs w:val="22"/>
        </w:rPr>
        <w:t xml:space="preserve"> van een al gemaakte afspraak (uitvoering), niet over de afspraak zelf (totstandkoming) — vandaar dat dit wél bij de geschilleninstantie thuishoort.</w:t>
      </w:r>
    </w:p>
    <w:p>
      <w:pPr>
        <w:spacing w:after="100"/>
      </w:pPr>
    </w:p>
    <w:p>
      <w:pPr>
        <w:pStyle w:val="Heading2"/>
        <w:spacing w:after="120" w:before="200"/>
      </w:pPr>
      <w:r>
        <w:rPr>
          <w:rFonts w:ascii="Georgia" w:cs="Georgia" w:eastAsia="Georgia" w:hAnsi="Georgia"/>
          <w:b/>
          <w:bCs/>
          <w:color w:val="2563A8"/>
          <w:sz w:val="28"/>
          <w:szCs w:val="28"/>
        </w:rPr>
        <w:t xml:space="preserve">Opdracht 20.5 — Bemiddeling of beslechting</w:t>
      </w:r>
    </w:p>
    <w:p>
      <w:pPr>
        <w:spacing w:after="140" w:line="300"/>
      </w:pPr>
      <w:r>
        <w:rPr>
          <w:rFonts w:ascii="Calibri" w:cs="Calibri" w:eastAsia="Calibri" w:hAnsi="Calibri"/>
          <w:b w:val="false"/>
          <w:bCs w:val="false"/>
          <w:i w:val="false"/>
          <w:iCs w:val="false"/>
          <w:sz w:val="22"/>
          <w:szCs w:val="22"/>
        </w:rPr>
        <w:t xml:space="preserve">Karel heeft een geschil met Meridiaan over zijn nabestaandenpensioen. Hij zegt: “Ik wil er gewoon samen met hen uitkomen, ik hoef geen juridisch gevecht.”</w:t>
      </w:r>
    </w:p>
    <w:p>
      <w:pPr>
        <w:spacing w:after="140" w:line="300"/>
      </w:pPr>
      <w:r>
        <w:rPr>
          <w:rFonts w:ascii="Calibri" w:cs="Calibri" w:eastAsia="Calibri" w:hAnsi="Calibri"/>
          <w:b w:val="false"/>
          <w:bCs w:val="false"/>
          <w:i w:val="false"/>
          <w:iCs w:val="false"/>
          <w:sz w:val="22"/>
          <w:szCs w:val="22"/>
        </w:rPr>
        <w:t xml:space="preserve">a. Welk traject past bij zijn wens?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gebeurt er als dat traject niet tot een oplossing leidt?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verliest hij niet door eerst voor dit traject te kiezen?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Bemiddeling.</w:t>
      </w:r>
    </w:p>
    <w:p>
      <w:pPr>
        <w:spacing w:after="140" w:line="300"/>
      </w:pPr>
      <w:r>
        <w:rPr>
          <w:rFonts w:ascii="Calibri" w:cs="Calibri" w:eastAsia="Calibri" w:hAnsi="Calibri"/>
          <w:b w:val="false"/>
          <w:bCs w:val="false"/>
          <w:i w:val="false"/>
          <w:iCs w:val="false"/>
          <w:sz w:val="22"/>
          <w:szCs w:val="22"/>
        </w:rPr>
        <w:t xml:space="preserve">b. Hij kan alsnog voor beslechting kiezen — bemiddeling is niet-bindend en sluit een vervolgtraject niet uit.</w:t>
      </w:r>
    </w:p>
    <w:p>
      <w:pPr>
        <w:spacing w:after="140" w:line="300"/>
      </w:pPr>
      <w:r>
        <w:rPr>
          <w:rFonts w:ascii="Calibri" w:cs="Calibri" w:eastAsia="Calibri" w:hAnsi="Calibri"/>
          <w:b w:val="false"/>
          <w:bCs w:val="false"/>
          <w:i w:val="false"/>
          <w:iCs w:val="false"/>
          <w:sz w:val="22"/>
          <w:szCs w:val="22"/>
        </w:rPr>
        <w:t xml:space="preserve">c. Zijn recht op beslechting (of, bij Kifid, mogelijk uiteindelijk de gang naar de rechter, zolang hij niet al voor de rechter heeft gekozen) blijft na een niet-geslaagde bemiddeling openstaan.</w:t>
      </w:r>
    </w:p>
    <w:p>
      <w:pPr>
        <w:spacing w:after="100"/>
      </w:pPr>
    </w:p>
    <w:p>
      <w:pPr>
        <w:pStyle w:val="Heading2"/>
        <w:spacing w:after="120" w:before="200"/>
      </w:pPr>
      <w:r>
        <w:rPr>
          <w:rFonts w:ascii="Georgia" w:cs="Georgia" w:eastAsia="Georgia" w:hAnsi="Georgia"/>
          <w:b/>
          <w:bCs/>
          <w:color w:val="2563A8"/>
          <w:sz w:val="28"/>
          <w:szCs w:val="28"/>
        </w:rPr>
        <w:t xml:space="preserve">Opdracht 20.6 — De AFM en een individuele klacht</w:t>
      </w:r>
    </w:p>
    <w:p>
      <w:pPr>
        <w:spacing w:after="140" w:line="300"/>
      </w:pPr>
      <w:r>
        <w:rPr>
          <w:rFonts w:ascii="Calibri" w:cs="Calibri" w:eastAsia="Calibri" w:hAnsi="Calibri"/>
          <w:b w:val="false"/>
          <w:bCs w:val="false"/>
          <w:i w:val="false"/>
          <w:iCs w:val="false"/>
          <w:sz w:val="22"/>
          <w:szCs w:val="22"/>
        </w:rPr>
        <w:t xml:space="preserve">Ferdi overweegt een klacht bij de AFM in te dienen omdat hij vindt dat Meridiaan zijn deelnemers onduidelijk heeft geïnformeerd.</w:t>
      </w:r>
    </w:p>
    <w:p>
      <w:pPr>
        <w:spacing w:after="140" w:line="300"/>
      </w:pPr>
      <w:r>
        <w:rPr>
          <w:rFonts w:ascii="Calibri" w:cs="Calibri" w:eastAsia="Calibri" w:hAnsi="Calibri"/>
          <w:b w:val="false"/>
          <w:bCs w:val="false"/>
          <w:i w:val="false"/>
          <w:iCs w:val="false"/>
          <w:sz w:val="22"/>
          <w:szCs w:val="22"/>
        </w:rPr>
        <w:t xml:space="preserve">a. Zal de AFM deze klacht individueel beoordelen en een uitspraak doen?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doet de AFM er dan wel mee?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Welke route moet Ferdi (of zijn medewerkers) bewandelen voor een individuele oplossing?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de AFM mag wettelijk niet in individuele gevallen treden.</w:t>
      </w:r>
    </w:p>
    <w:p>
      <w:pPr>
        <w:spacing w:after="140" w:line="300"/>
      </w:pPr>
      <w:r>
        <w:rPr>
          <w:rFonts w:ascii="Calibri" w:cs="Calibri" w:eastAsia="Calibri" w:hAnsi="Calibri"/>
          <w:b w:val="false"/>
          <w:bCs w:val="false"/>
          <w:i w:val="false"/>
          <w:iCs w:val="false"/>
          <w:sz w:val="22"/>
          <w:szCs w:val="22"/>
        </w:rPr>
        <w:t xml:space="preserve">b. Zij gebruikt de klacht als toezichtsignaal, wat kan meewegen in haar bredere toezicht op Meridiaan, zonder dat dit tot een individuele beslissing voor Ferdi leidt.</w:t>
      </w:r>
    </w:p>
    <w:p>
      <w:pPr>
        <w:spacing w:after="140" w:line="300"/>
      </w:pPr>
      <w:r>
        <w:rPr>
          <w:rFonts w:ascii="Calibri" w:cs="Calibri" w:eastAsia="Calibri" w:hAnsi="Calibri"/>
          <w:b w:val="false"/>
          <w:bCs w:val="false"/>
          <w:i w:val="false"/>
          <w:iCs w:val="false"/>
          <w:sz w:val="22"/>
          <w:szCs w:val="22"/>
        </w:rPr>
        <w:t xml:space="preserve">c. De interne klachtenprocedure bij Meridiaan, gevolgd door Kifid als dat niet tot een oplossing leidt.</w:t>
      </w:r>
    </w:p>
    <w:p>
      <w:pPr>
        <w:spacing w:after="100"/>
      </w:pPr>
    </w:p>
    <w:p>
      <w:pPr>
        <w:pStyle w:val="Heading2"/>
        <w:spacing w:after="120" w:before="200"/>
      </w:pPr>
      <w:r>
        <w:rPr>
          <w:rFonts w:ascii="Georgia" w:cs="Georgia" w:eastAsia="Georgia" w:hAnsi="Georgia"/>
          <w:b/>
          <w:bCs/>
          <w:color w:val="2563A8"/>
          <w:sz w:val="28"/>
          <w:szCs w:val="28"/>
        </w:rPr>
        <w:t xml:space="preserve">Opdracht 20.7 — Drie geschillen, drie routes</w:t>
      </w:r>
    </w:p>
    <w:p>
      <w:pPr>
        <w:spacing w:after="140" w:line="300"/>
      </w:pPr>
      <w:r>
        <w:rPr>
          <w:rFonts w:ascii="Calibri" w:cs="Calibri" w:eastAsia="Calibri" w:hAnsi="Calibri"/>
          <w:b w:val="false"/>
          <w:bCs w:val="false"/>
          <w:i w:val="false"/>
          <w:iCs w:val="false"/>
          <w:sz w:val="22"/>
          <w:szCs w:val="22"/>
        </w:rPr>
        <w:t xml:space="preserve">Vul voor de drie geschillen uit paragraaf 20.8 een tabel in met: eerste stap, vervolgroute, en de reden waarom deze route en niet een andere van toepassing 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Geschil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Eerste stap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Vervolgroute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Karel — nabestaandenpensioen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Klacht bij Meridiaan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Kifid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Uitvoering van de regeling bij een verzekeraar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Ilse/OR — onvoldoende betrokkenheid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klachtenprocedure van toepassing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Kantonrechter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Gaat over totstandkoming, niet uitvoering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Bpf T&amp;I-deelnemer — invaartoepassing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Klacht bij het fonds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Uitvoering van het pensioenreglement, inclusief invaren</w:t>
            </w:r>
          </w:p>
        </w:tc>
      </w:tr>
    </w:tbl>
    <w:p>
      <w:pPr>
        <w:spacing w:after="100"/>
      </w:pPr>
    </w:p>
    <w:p>
      <w:pPr>
        <w:pStyle w:val="Heading2"/>
        <w:spacing w:after="120" w:before="200"/>
      </w:pPr>
      <w:r>
        <w:rPr>
          <w:rFonts w:ascii="Georgia" w:cs="Georgia" w:eastAsia="Georgia" w:hAnsi="Georgia"/>
          <w:b/>
          <w:bCs/>
          <w:color w:val="2563A8"/>
          <w:sz w:val="28"/>
          <w:szCs w:val="28"/>
        </w:rPr>
        <w:t xml:space="preserve">Opdracht 20.8 — Terug naar deel 16</w:t>
      </w:r>
    </w:p>
    <w:p>
      <w:pPr>
        <w:spacing w:after="140" w:line="300"/>
      </w:pPr>
      <w:r>
        <w:rPr>
          <w:rFonts w:ascii="Calibri" w:cs="Calibri" w:eastAsia="Calibri" w:hAnsi="Calibri"/>
          <w:b w:val="false"/>
          <w:bCs w:val="false"/>
          <w:i w:val="false"/>
          <w:iCs w:val="false"/>
          <w:sz w:val="22"/>
          <w:szCs w:val="22"/>
        </w:rPr>
        <w:t xml:space="preserve">Leg in maximaal vijf zinnen de parallel uit tussen het onderscheid “invaren versus collectieve waardeoverdracht” (deel 16, met of zonder individueel bezwaarrecht) en het onderscheid “uitvoering versus totstandkoming” (dit deel, wel of niet naar de geschilleninstantie).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Beide onderscheidingen draaien om dezelfde onderliggende vraag: is dit een individuele aangelegenheid met een eigen rechtsingang, of een collectieve aangelegenheid die via collectieve kanalen (fondsorganen, sociale partners, de OR) moet worden geadresseerd? Bij invaren en bij de totstandkoming van een arbeidsvoorwaardelijke wijziging ligt de zeggenschap collectief, met collectieve rechtsbescherming; bij de uitvoering van een eenmaal vastgestelde regeling — inclusief de individuele toepassing van invaren — ontstaat een individuele aangelegenheid waarvoor GIP of Kifid openstaat. Beoordeel op de mate waarin de opdracht deze twee onderscheidingen expliciet als variaties op hetzelfde thema behandelt, in plaats van als twee losse regels.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2026-08-17T11:22:45.613Z</dcterms:created>
  <dcterms:modified xsi:type="dcterms:W3CDTF">2026-08-17T11:22:45.613Z</dcterms:modified>
</cp:coreProperties>
</file>

<file path=docProps/custom.xml><?xml version="1.0" encoding="utf-8"?>
<Properties xmlns="http://schemas.openxmlformats.org/officeDocument/2006/custom-properties" xmlns:vt="http://schemas.openxmlformats.org/officeDocument/2006/docPropsVTypes"/>
</file>