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21 — Docentenhandleiding</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21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Eén dagdeel (3 uur inclusief pauze) — afsluitend deel</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Dit deel sluit niveau 2 af naar het model van deel 10 (het slot van niveau 1), maar met een groter integratiebereik: elf delen in plaats van negen, en vijf verdedigingsrollen in plaats van vier. Twee dingen staan voorop:</w:t>
      </w:r>
    </w:p>
    <w:p>
      <w:pPr>
        <w:pStyle w:val="ListParagraph"/>
        <w:numPr>
          <w:ilvl w:val="0"/>
          <w:numId w:val="1"/>
        </w:numPr>
        <w:spacing w:after="80"/>
      </w:pPr>
      <w:r>
        <w:rPr>
          <w:rFonts w:ascii="Calibri" w:cs="Calibri" w:eastAsia="Calibri" w:hAnsi="Calibri"/>
          <w:sz w:val="22"/>
          <w:szCs w:val="22"/>
        </w:rPr>
        <w:t xml:space="preserve">1. Het adviesrapport moet bouwen op eerder werk, niet alles overnieuw doen. Deelnemers die deel 15 en 17 goed hebben gedaan, hebben al een aanzienlijk deel van het werk klaarliggen.</w:t>
      </w:r>
    </w:p>
    <w:p>
      <w:pPr>
        <w:pStyle w:val="ListParagraph"/>
        <w:numPr>
          <w:ilvl w:val="0"/>
          <w:numId w:val="1"/>
        </w:numPr>
        <w:spacing w:after="80"/>
      </w:pPr>
      <w:r>
        <w:rPr>
          <w:rFonts w:ascii="Calibri" w:cs="Calibri" w:eastAsia="Calibri" w:hAnsi="Calibri"/>
          <w:sz w:val="22"/>
          <w:szCs w:val="22"/>
        </w:rPr>
        <w:t xml:space="preserve">2. De vijfde rol (toezicht) toetst specifiek het laatste blok (deel 18-20) dat in de capstone van niveau 1 nog niet aan bod kwam.</w:t>
      </w:r>
    </w:p>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elf delen, één vak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 alle flappen van niveau 2 zichtbaar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Oefenexamen (21.3)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40 minuten, dan snelle nabespreking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0:55–1:10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Bouwstenen inventariseren, opdracht 21.1 en 21.2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1:30–2:15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rapport schrijven, opdracht 21.4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doorlopend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Voorbereiding verdediging, opdracht 21.5 en 21.6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2:35–2:55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Verdedigingen (verkort, in subgroepen of plenair gedemonstreerd)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Rollenspel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Zelftoets en vooruitblik niveau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Let op de tijdsdruk.</w:t>
      </w:r>
      <w:r>
        <w:rPr>
          <w:rFonts w:ascii="Calibri" w:cs="Calibri" w:eastAsia="Calibri" w:hAnsi="Calibri"/>
          <w:b w:val="false"/>
          <w:bCs w:val="false"/>
          <w:i w:val="false"/>
          <w:iCs w:val="false"/>
          <w:sz w:val="22"/>
          <w:szCs w:val="22"/>
        </w:rPr>
        <w:t xml:space="preserve"> Dit dagdeel is, net als deel 10, ambitieus geprogrammeerd. Overweeg het rapport (opdracht 21.4) als aansluitend huiswerk te laten afronden, met de verdedigingen in een vervolgsessie — vergelijkbaar met hoe deel 15 over twee dagdelen werd verdeeld. Communiceer deze keuze vooraf duidelijk aan de groep.</w:t>
      </w:r>
    </w:p>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Openen.</w:t>
      </w:r>
      <w:r>
        <w:rPr>
          <w:rFonts w:ascii="Calibri" w:cs="Calibri" w:eastAsia="Calibri" w:hAnsi="Calibri"/>
          <w:b w:val="false"/>
          <w:bCs w:val="false"/>
          <w:i w:val="false"/>
          <w:iCs w:val="false"/>
          <w:sz w:val="22"/>
          <w:szCs w:val="22"/>
        </w:rPr>
        <w:t xml:space="preserve"> Hang, net als bij deel 15, alle relevante flappen van niveau 2 op: de fiscale rekenregels (deel 11), de lifecycle-grafiek (deel 12), de zes-vragen-afwegingskader (deel 13), de waarborgzin (deel 14), het twaalfstappenplan (deel 15), de drie-routes-tabel (deel 16), de kernzin over specifieke hulp en zorgplicht (deel 17-18), de vier dimensies van datakwaliteit (deel 19), en de kernzin over uitvoering versus totstandkoming (deel 20). Dit visuele overzicht is het beste startpunt voor het gevoel van “dit gaan we nu allemaal samenbrengen.”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Oefenexamen.</w:t>
      </w:r>
      <w:r>
        <w:rPr>
          <w:rFonts w:ascii="Calibri" w:cs="Calibri" w:eastAsia="Calibri" w:hAnsi="Calibri"/>
          <w:b w:val="false"/>
          <w:bCs w:val="false"/>
          <w:i w:val="false"/>
          <w:iCs w:val="false"/>
          <w:sz w:val="22"/>
          <w:szCs w:val="22"/>
        </w:rPr>
        <w:t xml:space="preserve"> Behandel dit zoals in deel 10: laat eerst zelfstandig maken, dan kort nabespreken met de scoringsdrempels. Bij een lage score op specifieke vraagclusters (bijvoorbeeld alle vragen over deel 16 fout), adviseer gericht dat deel opnieuw door te nemen vóórdat de capstone wordt gestart — beter nu dan halverwege het rapport vastlopen.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Bouwstenen inventariseren.</w:t>
      </w:r>
      <w:r>
        <w:rPr>
          <w:rFonts w:ascii="Calibri" w:cs="Calibri" w:eastAsia="Calibri" w:hAnsi="Calibri"/>
          <w:b w:val="false"/>
          <w:bCs w:val="false"/>
          <w:i w:val="false"/>
          <w:iCs w:val="false"/>
          <w:sz w:val="22"/>
          <w:szCs w:val="22"/>
        </w:rPr>
        <w:t xml:space="preserve"> Dit voorkomt dat deelnemers het rapport als een geheel nieuwe opdracht benaderen in plaats van als een integratie- en aanvultaak. Loop rond en controleer of deelnemers hun werk uit deel 15 en 17 daadwerkelijk paraat hebben — wie dat niet heeft, verliest kostbare tijd in het vervolg van het dagdeel.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rapport schrijven.</w:t>
      </w:r>
      <w:r>
        <w:rPr>
          <w:rFonts w:ascii="Calibri" w:cs="Calibri" w:eastAsia="Calibri" w:hAnsi="Calibri"/>
          <w:b w:val="false"/>
          <w:bCs w:val="false"/>
          <w:i w:val="false"/>
          <w:iCs w:val="false"/>
          <w:sz w:val="22"/>
          <w:szCs w:val="22"/>
        </w:rPr>
        <w:t xml:space="preserve"> Dit is het hart van het dagdeel. Loop rond en signaleer vooral: worden de negen onderdelen als losse hoofdstukken behandeld, of ontstaan er kruisverwijzingen? Grijp in bij deelnemers die duidelijk “hoofdstuk voor hoofdstuk” werken zonder terug te bladeren — herinner hen aan opdracht 21.3 en het voorbeeld van de kruisverwijzing.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Voorbereiding verdediging.</w:t>
      </w:r>
      <w:r>
        <w:rPr>
          <w:rFonts w:ascii="Calibri" w:cs="Calibri" w:eastAsia="Calibri" w:hAnsi="Calibri"/>
          <w:b w:val="false"/>
          <w:bCs w:val="false"/>
          <w:i w:val="false"/>
          <w:iCs w:val="false"/>
          <w:sz w:val="22"/>
          <w:szCs w:val="22"/>
        </w:rPr>
        <w:t xml:space="preserve"> Bij opdracht 21.5: dit is waar deelnemers voor het eerst concreet moeten nadenken over wat de nieuwe, vijfde rol zou kunnen vragen. Als een deelnemer moeite heeft met het bedenken van geloofwaardige vragen, verwijs dan naar de veelgestelde vragen uit de docentenhandleidingen van deel 18, 19 en 20 — die zijn precies met dit doel geschreven.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Verdedigingen.</w:t>
      </w:r>
      <w:r>
        <w:rPr>
          <w:rFonts w:ascii="Calibri" w:cs="Calibri" w:eastAsia="Calibri" w:hAnsi="Calibri"/>
          <w:b w:val="false"/>
          <w:bCs w:val="false"/>
          <w:i w:val="false"/>
          <w:iCs w:val="false"/>
          <w:sz w:val="22"/>
          <w:szCs w:val="22"/>
        </w:rPr>
        <w:t xml:space="preserve"> Gezien de tijdsdruk: kies voor een verkorte vorm ten opzichte van deel 10 — bijvoorbeeld twee tot drie deelnemers die hun opening voor de hele groep demonstreren (opdracht 21.6), in plaats van dat iedereen een volledige dertig-minuten-verdediging doorloopt binnen dit ene dagdeel. Als de organisatie een volwaardige verdediging voor iedereen wil, plan daarvoor een aparte sessie, zoals bij deel 15 is gedaan met de twee dagdelen.</w:t>
      </w:r>
    </w:p>
    <w:p>
      <w:pPr>
        <w:spacing w:after="140" w:line="300"/>
      </w:pPr>
      <w:r>
        <w:rPr>
          <w:rFonts w:ascii="Calibri" w:cs="Calibri" w:eastAsia="Calibri" w:hAnsi="Calibri"/>
          <w:b w:val="false"/>
          <w:bCs w:val="false"/>
          <w:i w:val="false"/>
          <w:iCs w:val="false"/>
          <w:sz w:val="22"/>
          <w:szCs w:val="22"/>
        </w:rPr>
        <w:t xml:space="preserve">Let bij de gedemonstreerde openingen op exact dezelfde twee dingen als in deel 10: consistent verhaal over de vijf rollen, en expliciete erkenning van onzekerheid zonder toe te dekken.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Zelftoets en vooruitblik.</w:t>
      </w:r>
      <w:r>
        <w:rPr>
          <w:rFonts w:ascii="Calibri" w:cs="Calibri" w:eastAsia="Calibri" w:hAnsi="Calibri"/>
          <w:b w:val="false"/>
          <w:bCs w:val="false"/>
          <w:i w:val="false"/>
          <w:iCs w:val="false"/>
          <w:sz w:val="22"/>
          <w:szCs w:val="22"/>
        </w:rPr>
        <w:t xml:space="preserve"> Sluit rustig af. Dit is het einde van niveau 2 — geef er ruimte voor dat dit als mijlpaal aanvoelt, niet als nog een dagdeel tussen twee andere in.</w:t>
      </w:r>
    </w:p>
    <w:p>
      <w:pPr>
        <w:spacing w:after="100"/>
      </w:pPr>
    </w:p>
    <w:p>
      <w:pPr>
        <w:pStyle w:val="Heading2"/>
        <w:spacing w:after="120" w:before="200"/>
      </w:pPr>
      <w:r>
        <w:rPr>
          <w:rFonts w:ascii="Georgia" w:cs="Georgia" w:eastAsia="Georgia" w:hAnsi="Georgia"/>
          <w:b/>
          <w:bCs/>
          <w:color w:val="2563A8"/>
          <w:sz w:val="28"/>
          <w:szCs w:val="28"/>
        </w:rPr>
        <w:t xml:space="preserve">Beoordelen</w:t>
      </w:r>
    </w:p>
    <w:p>
      <w:pPr>
        <w:spacing w:after="140" w:line="300"/>
      </w:pPr>
      <w:r>
        <w:rPr>
          <w:rFonts w:ascii="Calibri" w:cs="Calibri" w:eastAsia="Calibri" w:hAnsi="Calibri"/>
          <w:b w:val="false"/>
          <w:bCs w:val="false"/>
          <w:i w:val="false"/>
          <w:iCs w:val="false"/>
          <w:sz w:val="22"/>
          <w:szCs w:val="22"/>
        </w:rPr>
        <w:t xml:space="preserve">Gebruik de rubric uit paragraaf 21.6. Ten opzichte van de rubric in deel 10 is criterium 5 (datakwaliteit en toezicht) nieuw en verdient specifieke aandacht — dit is het criterium waarop deelnemers die niveau 2 goed hebben gevolgd zich onderscheiden van wie alleen niveau 1 stevig beheerst.</w:t>
      </w:r>
    </w:p>
    <w:p>
      <w:pPr>
        <w:spacing w:after="140" w:line="300"/>
      </w:pPr>
      <w:r>
        <w:rPr>
          <w:rFonts w:ascii="Calibri" w:cs="Calibri" w:eastAsia="Calibri" w:hAnsi="Calibri"/>
          <w:b w:val="false"/>
          <w:bCs w:val="false"/>
          <w:i w:val="false"/>
          <w:iCs w:val="false"/>
          <w:sz w:val="22"/>
          <w:szCs w:val="22"/>
        </w:rPr>
        <w:t xml:space="preserve">Net als in deel 10 wegen criterium 6 (register versus verhaal) en criterium 7 (eerlijkheid over onzekerheid) dubbel. Handhaaf deze weging consequent — het is de rode draad van de beoordelingsfilosofie door de hele cursus heen.</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“Moeten we echt alle vijf rollen in de verdediging doen?”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Idealiter wel, maar gezien de tijdsdruk in één dagdeel is een verkorte of gedemonstreerde vorm acceptabel — zie de aanpassing in het tijdschema hierboven. Het belangrijkste leerdoel (consistent verhaal, eerlijkheid over onzekerheid) is ook met minder rollen te toetsen, mits de rollen die wél aan bod komen zorgvuldig gekozen worden.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als het klantprofiel uit deel 18 niet volledig is uitgewerkt in eerder werk?”</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Dat hoort dan alsnog te gebeuren in dit deel — het klantprofiel is een verplicht onderdeel van het rapport en kan niet worden overgeslagen, ook al is het nieuw werk in plaats van hergebruik.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dit hetzelfde soort capstone als in deel 10, of zwaarder?”</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Zwaarder, met opzet — meer onderdelen, meer rollen, en een grotere nadruk op integratie in plaats van op afzonderlijke toepassing. Dat past bij de progressie van niveau 1 (fundament) naar niveau 2 (uitvoering).</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Alle flappen van niveau 2, opgehangen vóór aanvang</w:t>
      </w:r>
    </w:p>
    <w:p>
      <w:pPr>
        <w:pStyle w:val="ListParagraph"/>
        <w:numPr>
          <w:ilvl w:val="0"/>
          <w:numId w:val="1"/>
        </w:numPr>
        <w:spacing w:after="80"/>
      </w:pPr>
      <w:r>
        <w:rPr>
          <w:rFonts w:ascii="Calibri" w:cs="Calibri" w:eastAsia="Calibri" w:hAnsi="Calibri"/>
          <w:sz w:val="22"/>
          <w:szCs w:val="22"/>
        </w:rPr>
        <w:t xml:space="preserve">Rubric uitgeprint, één per deelnemer</w:t>
      </w:r>
    </w:p>
    <w:p>
      <w:pPr>
        <w:pStyle w:val="ListParagraph"/>
        <w:numPr>
          <w:ilvl w:val="0"/>
          <w:numId w:val="1"/>
        </w:numPr>
        <w:spacing w:after="80"/>
      </w:pPr>
      <w:r>
        <w:rPr>
          <w:rFonts w:ascii="Calibri" w:cs="Calibri" w:eastAsia="Calibri" w:hAnsi="Calibri"/>
          <w:sz w:val="22"/>
          <w:szCs w:val="22"/>
        </w:rPr>
        <w:t xml:space="preserve">Vier examenvragen uit het oefenexamen vooraf geselecteerd voor eventuele klassikale doorloop bij een zwakke score</w:t>
      </w:r>
    </w:p>
    <w:p>
      <w:pPr>
        <w:pStyle w:val="ListParagraph"/>
        <w:numPr>
          <w:ilvl w:val="0"/>
          <w:numId w:val="1"/>
        </w:numPr>
        <w:spacing w:after="80"/>
      </w:pPr>
      <w:r>
        <w:rPr>
          <w:rFonts w:ascii="Calibri" w:cs="Calibri" w:eastAsia="Calibri" w:hAnsi="Calibri"/>
          <w:sz w:val="22"/>
          <w:szCs w:val="22"/>
        </w:rPr>
        <w:t xml:space="preserve">Duidelijke vooraf gecommuniceerde keuze: rapport en verdediging in één dagdeel, of gesplitst zoals bij deel 15</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Na afloop:</w:t>
      </w:r>
      <w:r>
        <w:rPr>
          <w:rFonts w:ascii="Calibri" w:cs="Calibri" w:eastAsia="Calibri" w:hAnsi="Calibri"/>
          <w:b w:val="false"/>
          <w:bCs w:val="false"/>
          <w:i w:val="false"/>
          <w:iCs w:val="false"/>
          <w:sz w:val="22"/>
          <w:szCs w:val="22"/>
        </w:rPr>
        <w:t xml:space="preserve"> de complete adviesrapporten vormen, samen met de rubricbeoordeling, het portfolio waarmee deelnemers niveau 2 afsluiten. Kondig niveau 3 aan: van uitvoering naar expertise, met een nieuwe fase in de casus — Van Doorn geïmplementeerd, Bpf T&amp;I ingevaren, Delta Chemie met een genomen besluit over zijn voortbestaan.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2026-08-17T11:22:45.718Z</dcterms:created>
  <dcterms:modified xsi:type="dcterms:W3CDTF">2026-08-17T11:22:45.718Z</dcterms:modified>
</cp:coreProperties>
</file>

<file path=docProps/custom.xml><?xml version="1.0" encoding="utf-8"?>
<Properties xmlns="http://schemas.openxmlformats.org/officeDocument/2006/custom-properties" xmlns:vt="http://schemas.openxmlformats.org/officeDocument/2006/docPropsVTypes"/>
</file>