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Reader — Deel 21 — Examentraining en adviesrapport</w:t>
      </w:r>
    </w:p>
    <w:p>
      <w:pPr>
        <w:spacing w:after="300"/>
      </w:pPr>
      <w:r>
        <w:rPr>
          <w:rFonts w:ascii="Calibri" w:cs="Calibri" w:eastAsia="Calibri" w:hAnsi="Calibri"/>
          <w:i/>
          <w:iCs/>
          <w:color w:val="2563A8"/>
          <w:sz w:val="22"/>
          <w:szCs w:val="22"/>
        </w:rPr>
        <w:t xml:space="preserve">Niveau 2 — Uitvoering en advies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21 — Examentraining en adviesrapport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2 · Uitvoering en advies · Deelnemersreader</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21.1 Leerdoelen</w:t>
      </w:r>
    </w:p>
    <w:p>
      <w:pPr>
        <w:spacing w:after="140" w:line="300"/>
      </w:pPr>
      <w:r>
        <w:rPr>
          <w:rFonts w:ascii="Calibri" w:cs="Calibri" w:eastAsia="Calibri" w:hAnsi="Calibri"/>
          <w:b w:val="false"/>
          <w:bCs w:val="false"/>
          <w:i w:val="false"/>
          <w:iCs w:val="false"/>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1. de kennis van niveau 2 (deel 11 tot en met 20) toepassen op examenniveau, met casuïstiek op het niveau van de Wft-module Pensioen;</w:t>
      </w:r>
    </w:p>
    <w:p>
      <w:pPr>
        <w:pStyle w:val="ListParagraph"/>
        <w:numPr>
          <w:ilvl w:val="0"/>
          <w:numId w:val="1"/>
        </w:numPr>
        <w:spacing w:after="80"/>
      </w:pPr>
      <w:r>
        <w:rPr>
          <w:rFonts w:ascii="Calibri" w:cs="Calibri" w:eastAsia="Calibri" w:hAnsi="Calibri"/>
          <w:sz w:val="22"/>
          <w:szCs w:val="22"/>
        </w:rPr>
        <w:t xml:space="preserve">2. een compleet, professioneel adviesrapport opstellen dat alle onderdelen van niveau 2 integreert;</w:t>
      </w:r>
    </w:p>
    <w:p>
      <w:pPr>
        <w:pStyle w:val="ListParagraph"/>
        <w:numPr>
          <w:ilvl w:val="0"/>
          <w:numId w:val="1"/>
        </w:numPr>
        <w:spacing w:after="80"/>
      </w:pPr>
      <w:r>
        <w:rPr>
          <w:rFonts w:ascii="Calibri" w:cs="Calibri" w:eastAsia="Calibri" w:hAnsi="Calibri"/>
          <w:sz w:val="22"/>
          <w:szCs w:val="22"/>
        </w:rPr>
        <w:t xml:space="preserve">3. het rapport verdedigen tegenover een uitgebreider palet aan rollen dan in de capstone van niveau 1;</w:t>
      </w:r>
    </w:p>
    <w:p>
      <w:pPr>
        <w:pStyle w:val="ListParagraph"/>
        <w:numPr>
          <w:ilvl w:val="0"/>
          <w:numId w:val="1"/>
        </w:numPr>
        <w:spacing w:after="80"/>
      </w:pPr>
      <w:r>
        <w:rPr>
          <w:rFonts w:ascii="Calibri" w:cs="Calibri" w:eastAsia="Calibri" w:hAnsi="Calibri"/>
          <w:sz w:val="22"/>
          <w:szCs w:val="22"/>
        </w:rPr>
        <w:t xml:space="preserve">4. je eigen gereedschapskist van niveau 1 én niveau 2 in samenhang toepassen op een nieuw dossier;</w:t>
      </w:r>
    </w:p>
    <w:p>
      <w:pPr>
        <w:pStyle w:val="ListParagraph"/>
        <w:numPr>
          <w:ilvl w:val="0"/>
          <w:numId w:val="1"/>
        </w:numPr>
        <w:spacing w:after="80"/>
      </w:pPr>
      <w:r>
        <w:rPr>
          <w:rFonts w:ascii="Calibri" w:cs="Calibri" w:eastAsia="Calibri" w:hAnsi="Calibri"/>
          <w:sz w:val="22"/>
          <w:szCs w:val="22"/>
        </w:rPr>
        <w:t xml:space="preserve">5. jezelf toetsen aan de doorstroomcriteria voor niveau 3.</w:t>
      </w:r>
    </w:p>
    <w:p>
      <w:pPr>
        <w:spacing w:after="100"/>
      </w:pPr>
    </w:p>
    <w:p>
      <w:pPr>
        <w:pStyle w:val="Heading2"/>
        <w:spacing w:after="120" w:before="200"/>
      </w:pPr>
      <w:r>
        <w:rPr>
          <w:rFonts w:ascii="Georgia" w:cs="Georgia" w:eastAsia="Georgia" w:hAnsi="Georgia"/>
          <w:b/>
          <w:bCs/>
          <w:color w:val="2563A8"/>
          <w:sz w:val="28"/>
          <w:szCs w:val="28"/>
        </w:rPr>
        <w:t xml:space="preserve">21.2 Terugblik: elf delen, één vak</w:t>
      </w:r>
    </w:p>
    <w:p>
      <w:pPr>
        <w:spacing w:after="140" w:line="300"/>
      </w:pPr>
      <w:r>
        <w:rPr>
          <w:rFonts w:ascii="Calibri" w:cs="Calibri" w:eastAsia="Calibri" w:hAnsi="Calibri"/>
          <w:b w:val="false"/>
          <w:bCs w:val="false"/>
          <w:i w:val="false"/>
          <w:iCs w:val="false"/>
          <w:sz w:val="22"/>
          <w:szCs w:val="22"/>
        </w:rPr>
        <w:t xml:space="preserve">Niveau 2 begon met rekenwerk (deel 11: de fiscale grenzen achter toets 3 uit de scheidslijnkaart) en eindigde met het vangnet voor wanneer het misgaat (deel 20). Ertussenin lag het hele traject van een verzekerde transitie: product (12, 13), proces (14, 15), het lot van bestaande aanspraken (16), uitleg (17), verantwoordelijkheid (18, 19).</w:t>
      </w:r>
    </w:p>
    <w:p>
      <w:pPr>
        <w:spacing w:after="140" w:line="300"/>
      </w:pPr>
      <w:r>
        <w:rPr>
          <w:rFonts w:ascii="Calibri" w:cs="Calibri" w:eastAsia="Calibri" w:hAnsi="Calibri"/>
          <w:b w:val="false"/>
          <w:bCs w:val="false"/>
          <w:i w:val="false"/>
          <w:iCs w:val="false"/>
          <w:sz w:val="22"/>
          <w:szCs w:val="22"/>
        </w:rPr>
        <w:t xml:space="preserve">Elf delen die, stuk voor stuk, een schakel toevoegden aan wat in deel 15 al werd geoefend: het vermogen om alles tegelijk toe te passen op één dossier. Dit deel is de laatste en meest volledige oefening daarin.</w:t>
      </w:r>
    </w:p>
    <w:p>
      <w:pPr>
        <w:spacing w:after="100"/>
      </w:pPr>
    </w:p>
    <w:p>
      <w:pPr>
        <w:pStyle w:val="Heading2"/>
        <w:spacing w:after="120" w:before="200"/>
      </w:pPr>
      <w:r>
        <w:rPr>
          <w:rFonts w:ascii="Georgia" w:cs="Georgia" w:eastAsia="Georgia" w:hAnsi="Georgia"/>
          <w:b/>
          <w:bCs/>
          <w:color w:val="2563A8"/>
          <w:sz w:val="28"/>
          <w:szCs w:val="28"/>
        </w:rPr>
        <w:t xml:space="preserve">21.3 Oefenexamen: twintig vragen op niveau 2</w:t>
      </w:r>
    </w:p>
    <w:p>
      <w:pPr>
        <w:spacing w:after="140" w:line="300"/>
      </w:pPr>
      <w:r>
        <w:rPr>
          <w:rFonts w:ascii="Calibri" w:cs="Calibri" w:eastAsia="Calibri" w:hAnsi="Calibri"/>
          <w:b w:val="false"/>
          <w:bCs w:val="false"/>
          <w:i w:val="false"/>
          <w:iCs w:val="false"/>
          <w:sz w:val="22"/>
          <w:szCs w:val="22"/>
        </w:rPr>
        <w:t xml:space="preserve">Maak de vragen in veertig minuten, zonder hulpmiddelen.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1.</w:t>
      </w:r>
      <w:r>
        <w:rPr>
          <w:rFonts w:ascii="Calibri" w:cs="Calibri" w:eastAsia="Calibri" w:hAnsi="Calibri"/>
          <w:b w:val="false"/>
          <w:bCs w:val="false"/>
          <w:i w:val="false"/>
          <w:iCs w:val="false"/>
          <w:sz w:val="22"/>
          <w:szCs w:val="22"/>
        </w:rPr>
        <w:t xml:space="preserve"> De AOW-franchise voor een Wtp-regeling is voor 2026:</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A. Een vast bedrag voor alle regelingen. B. Een minimum, gekoppeld aan het premiepercentage. C. Alleen relevant voor de derde pijler. D. Gelijk aan de aftoppingsgrens.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2.</w:t>
      </w:r>
      <w:r>
        <w:rPr>
          <w:rFonts w:ascii="Calibri" w:cs="Calibri" w:eastAsia="Calibri" w:hAnsi="Calibri"/>
          <w:b w:val="false"/>
          <w:bCs w:val="false"/>
          <w:i w:val="false"/>
          <w:iCs w:val="false"/>
          <w:sz w:val="22"/>
          <w:szCs w:val="22"/>
        </w:rPr>
        <w:t xml:space="preserve"> Een lifecycle bouwt renterisico af:</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A. Vanaf de eerste dag van deelname. B. Gelijktijdig met het aandelenrisico. C. Pas in de laatste jaren vóór de pensioendatum. D. Alleen bij een garantiecontract.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3.</w:t>
      </w:r>
      <w:r>
        <w:rPr>
          <w:rFonts w:ascii="Calibri" w:cs="Calibri" w:eastAsia="Calibri" w:hAnsi="Calibri"/>
          <w:b w:val="false"/>
          <w:bCs w:val="false"/>
          <w:i w:val="false"/>
          <w:iCs w:val="false"/>
          <w:sz w:val="22"/>
          <w:szCs w:val="22"/>
        </w:rPr>
        <w:t xml:space="preserve"> Bij een premie-uitkeringsovereenkomst heeft de deelnemer op de pensioendatum:</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A. Recht op shoprecht. B. Geen kapitaal om mee te shoppen. C. Altijd een variabele uitkering. D. Een verplichting tot doorbeleggen.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4.</w:t>
      </w:r>
      <w:r>
        <w:rPr>
          <w:rFonts w:ascii="Calibri" w:cs="Calibri" w:eastAsia="Calibri" w:hAnsi="Calibri"/>
          <w:b w:val="false"/>
          <w:bCs w:val="false"/>
          <w:i w:val="false"/>
          <w:iCs w:val="false"/>
          <w:sz w:val="22"/>
          <w:szCs w:val="22"/>
        </w:rPr>
        <w:t xml:space="preserve"> Een hoger projectierendement bij een variabele uitkering betekent:</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A. Een lagere eerste uitkering en minder risico op daling. B. Een hogere eerste uitkering en meer risico op latere daling. C. Geen effect op de eerste uitkering. D. Automatisch een hogere gemiddelde uitkering over de hele looptijd.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5.</w:t>
      </w:r>
      <w:r>
        <w:rPr>
          <w:rFonts w:ascii="Calibri" w:cs="Calibri" w:eastAsia="Calibri" w:hAnsi="Calibri"/>
          <w:b w:val="false"/>
          <w:bCs w:val="false"/>
          <w:i w:val="false"/>
          <w:iCs w:val="false"/>
          <w:sz w:val="22"/>
          <w:szCs w:val="22"/>
        </w:rPr>
        <w:t xml:space="preserve"> De waarborg zonder nader medisch onderzoek bij overstap naar een nieuwe uitvoerder:</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A. Is wettelijk verplicht. B. Ontstaat automatisch bij elke contractwisseling. C. Moet actief worden bedongen. D. Geldt alleen voor nieuwe deelnemers.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6.</w:t>
      </w:r>
      <w:r>
        <w:rPr>
          <w:rFonts w:ascii="Calibri" w:cs="Calibri" w:eastAsia="Calibri" w:hAnsi="Calibri"/>
          <w:b w:val="false"/>
          <w:bCs w:val="false"/>
          <w:i w:val="false"/>
          <w:iCs w:val="false"/>
          <w:sz w:val="22"/>
          <w:szCs w:val="22"/>
        </w:rPr>
        <w:t xml:space="preserve"> De uiterste indieningsdatum voor het transitieplan bij een verzekerde regeling, bij het laatst mogelijke transitiemoment, is:</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A. 1 januari 2027. B. 1 oktober 2027. C. 1 januari 2028. D. 1 januari 2037.</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7.</w:t>
      </w:r>
      <w:r>
        <w:rPr>
          <w:rFonts w:ascii="Calibri" w:cs="Calibri" w:eastAsia="Calibri" w:hAnsi="Calibri"/>
          <w:b w:val="false"/>
          <w:bCs w:val="false"/>
          <w:i w:val="false"/>
          <w:iCs w:val="false"/>
          <w:sz w:val="22"/>
          <w:szCs w:val="22"/>
        </w:rPr>
        <w:t xml:space="preserve"> Bij collectieve waardeoverdracht bestaat, in tegenstelling tot bij invaren: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A. Geen wettelijke onderbouwingsplicht. B. Een individueel bezwaarrecht. C. Geen rol voor DNB. D. Geen mogelijkheid tot bezwaar.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8.</w:t>
      </w:r>
      <w:r>
        <w:rPr>
          <w:rFonts w:ascii="Calibri" w:cs="Calibri" w:eastAsia="Calibri" w:hAnsi="Calibri"/>
          <w:b w:val="false"/>
          <w:bCs w:val="false"/>
          <w:i w:val="false"/>
          <w:iCs w:val="false"/>
          <w:sz w:val="22"/>
          <w:szCs w:val="22"/>
        </w:rPr>
        <w:t xml:space="preserve"> Een netto profijt van 0% voor alle groepen bij invaren is:</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A. Per definitie de meest evenwichtige uitkomst. B. Onmogelijk te bereiken. C. Geen vanzelfsprekend evenwichtige uitkomst, want het bestendigt de oude spelregels. D. Verplicht volgens de standaardmethode.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9.</w:t>
      </w:r>
      <w:r>
        <w:rPr>
          <w:rFonts w:ascii="Calibri" w:cs="Calibri" w:eastAsia="Calibri" w:hAnsi="Calibri"/>
          <w:b w:val="false"/>
          <w:bCs w:val="false"/>
          <w:i w:val="false"/>
          <w:iCs w:val="false"/>
          <w:sz w:val="22"/>
          <w:szCs w:val="22"/>
        </w:rPr>
        <w:t xml:space="preserve"> De standaardmethode voor invaren: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A. Vraagt altijd uitgebreide aanvullende onderbouwing. B. Is de wettelijke voorkeursmethode met doorgaans beperkte onderbouwingslast. C. Mag alleen door kleine fondsen worden gebruikt. D. Is hetzelfde als de vba-methode.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10.</w:t>
      </w:r>
      <w:r>
        <w:rPr>
          <w:rFonts w:ascii="Calibri" w:cs="Calibri" w:eastAsia="Calibri" w:hAnsi="Calibri"/>
          <w:b w:val="false"/>
          <w:bCs w:val="false"/>
          <w:i w:val="false"/>
          <w:iCs w:val="false"/>
          <w:sz w:val="22"/>
          <w:szCs w:val="22"/>
        </w:rPr>
        <w:t xml:space="preserve"> Het communicatieplan bij een transitie:</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A. Moet voor elke deelnemer identiek zijn. B. Mag per doelgroep verschillen. C. Is optioneel bij een verzekerde regeling. D. Vervangt het transitieplan.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11.</w:t>
      </w:r>
      <w:r>
        <w:rPr>
          <w:rFonts w:ascii="Calibri" w:cs="Calibri" w:eastAsia="Calibri" w:hAnsi="Calibri"/>
          <w:b w:val="false"/>
          <w:bCs w:val="false"/>
          <w:i w:val="false"/>
          <w:iCs w:val="false"/>
          <w:sz w:val="22"/>
          <w:szCs w:val="22"/>
        </w:rPr>
        <w:t xml:space="preserve"> Artikel 48a Pensioenwet (keuzebegeleiding) verplicht de uitvoerder tot:</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A. Het geven van persoonlijk financieel advies. B. Adequate begeleiding, zonder persoonlijke productaanbeveling. C. Het overnemen van de beslissing van de deelnemer. D. Uitsluitend schriftelijke informatie.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12.</w:t>
      </w:r>
      <w:r>
        <w:rPr>
          <w:rFonts w:ascii="Calibri" w:cs="Calibri" w:eastAsia="Calibri" w:hAnsi="Calibri"/>
          <w:b w:val="false"/>
          <w:bCs w:val="false"/>
          <w:i w:val="false"/>
          <w:iCs w:val="false"/>
          <w:sz w:val="22"/>
          <w:szCs w:val="22"/>
        </w:rPr>
        <w:t xml:space="preserve"> Een medewerker van een uitvoerder zegt: “Ik zou u aanraden voor de vaste uitkering te kiezen.” Dit is:</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A. Toegestane keuzebegeleiding. B. Een aanbeveling die de grens naar vergunningplichtig advies overschrijdt. C. Verplicht onderdeel van de keuzebegeleiding. D. Nooit toegestaan, ook niet met een adviesvergunning.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13.</w:t>
      </w:r>
      <w:r>
        <w:rPr>
          <w:rFonts w:ascii="Calibri" w:cs="Calibri" w:eastAsia="Calibri" w:hAnsi="Calibri"/>
          <w:b w:val="false"/>
          <w:bCs w:val="false"/>
          <w:i w:val="false"/>
          <w:iCs w:val="false"/>
          <w:sz w:val="22"/>
          <w:szCs w:val="22"/>
        </w:rPr>
        <w:t xml:space="preserve"> Artikel 4:23 Wft verplicht een adviseur tot:</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A. Het aanbieden van de goedkoopste optie. B. Het inwinnen van informatie over kennis, ervaring, financiële positie, doelstellingen en risicobereidheid. C. Het afzien van elk advies bij onzekerheid. D. Uitsluitend schriftelijk contact met de klant.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14.</w:t>
      </w:r>
      <w:r>
        <w:rPr>
          <w:rFonts w:ascii="Calibri" w:cs="Calibri" w:eastAsia="Calibri" w:hAnsi="Calibri"/>
          <w:b w:val="false"/>
          <w:bCs w:val="false"/>
          <w:i w:val="false"/>
          <w:iCs w:val="false"/>
          <w:sz w:val="22"/>
          <w:szCs w:val="22"/>
        </w:rPr>
        <w:t xml:space="preserve"> De Wft-zorgplicht in verhouding tot de civiele zorgplicht:</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A. Vervangt de civiele zorgplicht volledig. B. Is een vloer; de civiele zorgplicht kan verder reiken. C. Is strenger dan de civiele zorgplicht in alle gevallen. D. Geldt niet voor pensioenadvies.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15.</w:t>
      </w:r>
      <w:r>
        <w:rPr>
          <w:rFonts w:ascii="Calibri" w:cs="Calibri" w:eastAsia="Calibri" w:hAnsi="Calibri"/>
          <w:b w:val="false"/>
          <w:bCs w:val="false"/>
          <w:i w:val="false"/>
          <w:iCs w:val="false"/>
          <w:sz w:val="22"/>
          <w:szCs w:val="22"/>
        </w:rPr>
        <w:t xml:space="preserve"> Welke dimensie van datakwaliteit is geschonden als een salariswijziging pas na twee maanden wordt doorgegeven?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A. Juistheid. B. Volledigheid. C. Tijdigheid. D. Consistentie.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16.</w:t>
      </w:r>
      <w:r>
        <w:rPr>
          <w:rFonts w:ascii="Calibri" w:cs="Calibri" w:eastAsia="Calibri" w:hAnsi="Calibri"/>
          <w:b w:val="false"/>
          <w:bCs w:val="false"/>
          <w:i w:val="false"/>
          <w:iCs w:val="false"/>
          <w:sz w:val="22"/>
          <w:szCs w:val="22"/>
        </w:rPr>
        <w:t xml:space="preserve"> Een geschil over het ontbreken van OR-instemming bij een nieuwe pensioenregeling hoort:</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A. Bij Kifid. B. Bij de GIP. C. Bij de kantonrechter. D. Bij de AFM, die een bindende uitspraak doet.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17.</w:t>
      </w:r>
      <w:r>
        <w:rPr>
          <w:rFonts w:ascii="Calibri" w:cs="Calibri" w:eastAsia="Calibri" w:hAnsi="Calibri"/>
          <w:b w:val="false"/>
          <w:bCs w:val="false"/>
          <w:i w:val="false"/>
          <w:iCs w:val="false"/>
          <w:sz w:val="22"/>
          <w:szCs w:val="22"/>
        </w:rPr>
        <w:t xml:space="preserve"> De AFM behandelt een individuele klacht van een deelnemer over onduidelijke communicatie door:</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A. Een bindende uitspraak te doen. B. De klacht als toezichtsignaal te gebruiken, zonder individuele beslissing. C. Het geschil door te verwijzen naar DNB. D. De klacht te negeren.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18.</w:t>
      </w:r>
      <w:r>
        <w:rPr>
          <w:rFonts w:ascii="Calibri" w:cs="Calibri" w:eastAsia="Calibri" w:hAnsi="Calibri"/>
          <w:b w:val="false"/>
          <w:bCs w:val="false"/>
          <w:i w:val="false"/>
          <w:iCs w:val="false"/>
          <w:sz w:val="22"/>
          <w:szCs w:val="22"/>
        </w:rPr>
        <w:t xml:space="preserve"> Bemiddeling bij een geschil, in tegenstelling tot beslechting:</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A. Is altijd bindend. B. Sluit een latere gang naar beslechting uit. C. Is niet-bindend en sluit een vervolgtraject niet uit. D. Kan alleen bij de rechter.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19.</w:t>
      </w:r>
      <w:r>
        <w:rPr>
          <w:rFonts w:ascii="Calibri" w:cs="Calibri" w:eastAsia="Calibri" w:hAnsi="Calibri"/>
          <w:b w:val="false"/>
          <w:bCs w:val="false"/>
          <w:i w:val="false"/>
          <w:iCs w:val="false"/>
          <w:sz w:val="22"/>
          <w:szCs w:val="22"/>
        </w:rPr>
        <w:t xml:space="preserve"> Wie besluit over het standaard risicoprofiel (lifecycle) bij een nieuwe pensioenregeling?</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A. Elke individuele deelnemer verplicht zelf. B. De werkgever, bij het afsluiten van het contract. C. Uitsluitend DNB. D. De AFM.</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20.</w:t>
      </w:r>
      <w:r>
        <w:rPr>
          <w:rFonts w:ascii="Calibri" w:cs="Calibri" w:eastAsia="Calibri" w:hAnsi="Calibri"/>
          <w:b w:val="false"/>
          <w:bCs w:val="false"/>
          <w:i w:val="false"/>
          <w:iCs w:val="false"/>
          <w:sz w:val="22"/>
          <w:szCs w:val="22"/>
        </w:rPr>
        <w:t xml:space="preserve"> Bij het invaren geldt de 95%-rekenregelgrens op:</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A. Fondsniveau, gemiddeld over alle deelnemers. B. Individueel niveau, voor elke deelnemer of pensioengerechtigde afzonderlijk. C. Alleen voor actieve deelnemers. D. Alleen bij toepassing van de vba-methode.</w:t>
      </w:r>
    </w:p>
    <w:p>
      <w:pPr>
        <w:spacing w:after="100"/>
      </w:pPr>
    </w:p>
    <w:p>
      <w:pPr>
        <w:pStyle w:val="Heading3"/>
        <w:spacing w:after="100" w:before="160"/>
      </w:pPr>
      <w:r>
        <w:rPr>
          <w:rFonts w:ascii="Georgia" w:cs="Georgia" w:eastAsia="Georgia" w:hAnsi="Georgia"/>
          <w:b/>
          <w:bCs/>
          <w:color w:val="14213D"/>
          <w:sz w:val="24"/>
          <w:szCs w:val="24"/>
        </w:rPr>
        <w:t xml:space="preserve">Uitwerkingen</w:t>
      </w:r>
    </w:p>
    <w:p>
      <w:pPr>
        <w:spacing w:after="140" w:line="300"/>
      </w:pPr>
      <w:r>
        <w:rPr>
          <w:rFonts w:ascii="Calibri" w:cs="Calibri" w:eastAsia="Calibri" w:hAnsi="Calibri"/>
          <w:b w:val="false"/>
          <w:bCs w:val="false"/>
          <w:i w:val="false"/>
          <w:iCs w:val="false"/>
          <w:sz w:val="22"/>
          <w:szCs w:val="22"/>
        </w:rPr>
        <w:t xml:space="preserve">1: B. 2: C. 3: B. 4: B. 5: C. 6: B. 7: B. 8: C. 9: B. 10: B. 11: B. 12: B. 13: B. 14: B. 15: C. 16: C. 17: B. 18: C. 19: B. 20: B.</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Scoring.</w:t>
      </w:r>
      <w:r>
        <w:rPr>
          <w:rFonts w:ascii="Calibri" w:cs="Calibri" w:eastAsia="Calibri" w:hAnsi="Calibri"/>
          <w:b w:val="false"/>
          <w:bCs w:val="false"/>
          <w:i w:val="false"/>
          <w:iCs w:val="false"/>
          <w:sz w:val="22"/>
          <w:szCs w:val="22"/>
        </w:rPr>
        <w:t xml:space="preserve"> 16 of meer goed: klaar voor de capstone. 12-15: neem de delen door waarop je fout scoorde. Minder dan 12: herhaal in ieder geval deel 15 (het stappenplan), deel 16 (invaren/CWO) en deel 18 (zorgplicht) voordat je verdergaat — dit zijn de drie meest geïntegreerde delen van niveau 2.</w:t>
      </w:r>
    </w:p>
    <w:p>
      <w:pPr>
        <w:spacing w:after="100"/>
      </w:pPr>
    </w:p>
    <w:p>
      <w:pPr>
        <w:pStyle w:val="Heading2"/>
        <w:spacing w:after="120" w:before="200"/>
      </w:pPr>
      <w:r>
        <w:rPr>
          <w:rFonts w:ascii="Georgia" w:cs="Georgia" w:eastAsia="Georgia" w:hAnsi="Georgia"/>
          <w:b/>
          <w:bCs/>
          <w:color w:val="2563A8"/>
          <w:sz w:val="28"/>
          <w:szCs w:val="28"/>
        </w:rPr>
        <w:t xml:space="preserve">21.4 De capstone: het complete adviesrapport voor Van Doorn Techniek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opdracht.</w:t>
      </w:r>
      <w:r>
        <w:rPr>
          <w:rFonts w:ascii="Calibri" w:cs="Calibri" w:eastAsia="Calibri" w:hAnsi="Calibri"/>
          <w:b w:val="false"/>
          <w:bCs w:val="false"/>
          <w:i w:val="false"/>
          <w:iCs w:val="false"/>
          <w:sz w:val="22"/>
          <w:szCs w:val="22"/>
        </w:rPr>
        <w:t xml:space="preserve"> Je bent nog altijd de adviseur van Van Doorn Techniek (of neemt de rol van Joost Meiland over). Lever een compleet, schriftelijk adviesrapport van maximaal acht pagina’s, plus een verdediging van dertig minuten.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Bouw voort op eerder werk.</w:t>
      </w:r>
      <w:r>
        <w:rPr>
          <w:rFonts w:ascii="Calibri" w:cs="Calibri" w:eastAsia="Calibri" w:hAnsi="Calibri"/>
          <w:b w:val="false"/>
          <w:bCs w:val="false"/>
          <w:i w:val="false"/>
          <w:iCs w:val="false"/>
          <w:sz w:val="22"/>
          <w:szCs w:val="22"/>
        </w:rPr>
        <w:t xml:space="preserve"> Gebruik je beslisnotitie uit deel 15 (opdracht 15.7) en je communicatiebeleid uit deel 17 (opdracht 17.8) als bouwstenen — dit deel vraagt niet om alles opnieuw te doen, maar om het samen te voegen tot één samenhangend, professioneel document en het aan te vullen met de onderdelen die nog ontbreken.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Verplichte onderdelen:</w:t>
      </w:r>
      <w:r>
        <w:rPr>
          <w:rFonts w:ascii="Calibri" w:cs="Calibri" w:eastAsia="Calibri" w:hAnsi="Calibri"/>
          <w:b w:val="false"/>
          <w:bCs w:val="false"/>
          <w:i w:val="false"/>
          <w:iCs w:val="false"/>
          <w:sz w:val="22"/>
          <w:szCs w:val="22"/>
        </w:rPr>
        <w:t xml:space="preserve"/>
      </w:r>
    </w:p>
    <w:p>
      <w:pPr>
        <w:pStyle w:val="ListParagraph"/>
        <w:numPr>
          <w:ilvl w:val="0"/>
          <w:numId w:val="1"/>
        </w:numPr>
        <w:spacing w:after="80"/>
      </w:pPr>
      <w:r>
        <w:rPr>
          <w:rFonts w:ascii="Calibri" w:cs="Calibri" w:eastAsia="Calibri" w:hAnsi="Calibri"/>
          <w:sz w:val="22"/>
          <w:szCs w:val="22"/>
        </w:rPr>
        <w:t xml:space="preserve">1. Klantprofiel (deel 18) — kennis, ervaring, financiële positie, doelstellingen, risicobereidheid van Van Doorn Techniek, expliciet vastgelegd.</w:t>
      </w:r>
    </w:p>
    <w:p>
      <w:pPr>
        <w:pStyle w:val="ListParagraph"/>
        <w:numPr>
          <w:ilvl w:val="0"/>
          <w:numId w:val="1"/>
        </w:numPr>
        <w:spacing w:after="80"/>
      </w:pPr>
      <w:r>
        <w:rPr>
          <w:rFonts w:ascii="Calibri" w:cs="Calibri" w:eastAsia="Calibri" w:hAnsi="Calibri"/>
          <w:sz w:val="22"/>
          <w:szCs w:val="22"/>
        </w:rPr>
        <w:t xml:space="preserve">2. Diagnose en overgangsrecht — de vier toetsen (niveau 1) en de keuze rond eerbiedigende werking (deel 6), nu definitief onderbouwd met de fiscale doorrekening (deel 11).</w:t>
      </w:r>
    </w:p>
    <w:p>
      <w:pPr>
        <w:pStyle w:val="ListParagraph"/>
        <w:numPr>
          <w:ilvl w:val="0"/>
          <w:numId w:val="1"/>
        </w:numPr>
        <w:spacing w:after="80"/>
      </w:pPr>
      <w:r>
        <w:rPr>
          <w:rFonts w:ascii="Calibri" w:cs="Calibri" w:eastAsia="Calibri" w:hAnsi="Calibri"/>
          <w:sz w:val="22"/>
          <w:szCs w:val="22"/>
        </w:rPr>
        <w:t xml:space="preserve">3. Productadvies — lifecycle-profiel, garantieniveau, kostenvergelijking (deel 12), en de uitkeringsvorm-default (deel 13).</w:t>
      </w:r>
    </w:p>
    <w:p>
      <w:pPr>
        <w:pStyle w:val="ListParagraph"/>
        <w:numPr>
          <w:ilvl w:val="0"/>
          <w:numId w:val="1"/>
        </w:numPr>
        <w:spacing w:after="80"/>
      </w:pPr>
      <w:r>
        <w:rPr>
          <w:rFonts w:ascii="Calibri" w:cs="Calibri" w:eastAsia="Calibri" w:hAnsi="Calibri"/>
          <w:sz w:val="22"/>
          <w:szCs w:val="22"/>
        </w:rPr>
        <w:t xml:space="preserve">4. Route A of B — blijven bij Meridiaan of overstappen, inclusief de waarborgvraag (deel 14) als het overstap betreft.</w:t>
      </w:r>
    </w:p>
    <w:p>
      <w:pPr>
        <w:pStyle w:val="ListParagraph"/>
        <w:numPr>
          <w:ilvl w:val="0"/>
          <w:numId w:val="1"/>
        </w:numPr>
        <w:spacing w:after="80"/>
      </w:pPr>
      <w:r>
        <w:rPr>
          <w:rFonts w:ascii="Calibri" w:cs="Calibri" w:eastAsia="Calibri" w:hAnsi="Calibri"/>
          <w:sz w:val="22"/>
          <w:szCs w:val="22"/>
        </w:rPr>
        <w:t xml:space="preserve">5. Het lot van bestaande aanspraken — expliciet bevestigen dat dit geen invaren betreft (deel 16) en wat er met Karels oude kapitaal gebeurt.</w:t>
      </w:r>
    </w:p>
    <w:p>
      <w:pPr>
        <w:pStyle w:val="ListParagraph"/>
        <w:numPr>
          <w:ilvl w:val="0"/>
          <w:numId w:val="1"/>
        </w:numPr>
        <w:spacing w:after="80"/>
      </w:pPr>
      <w:r>
        <w:rPr>
          <w:rFonts w:ascii="Calibri" w:cs="Calibri" w:eastAsia="Calibri" w:hAnsi="Calibri"/>
          <w:sz w:val="22"/>
          <w:szCs w:val="22"/>
        </w:rPr>
        <w:t xml:space="preserve">6. Communicatiebeleid — de vier doelgroepen en de gelaagde aanpak (deel 17).</w:t>
      </w:r>
    </w:p>
    <w:p>
      <w:pPr>
        <w:pStyle w:val="ListParagraph"/>
        <w:numPr>
          <w:ilvl w:val="0"/>
          <w:numId w:val="1"/>
        </w:numPr>
        <w:spacing w:after="80"/>
      </w:pPr>
      <w:r>
        <w:rPr>
          <w:rFonts w:ascii="Calibri" w:cs="Calibri" w:eastAsia="Calibri" w:hAnsi="Calibri"/>
          <w:sz w:val="22"/>
          <w:szCs w:val="22"/>
        </w:rPr>
        <w:t xml:space="preserve">7. Datakwaliteitsparagraaf — hoe wordt de datakwaliteit bij implementatie gecontroleerd (deel 19).</w:t>
      </w:r>
    </w:p>
    <w:p>
      <w:pPr>
        <w:pStyle w:val="ListParagraph"/>
        <w:numPr>
          <w:ilvl w:val="0"/>
          <w:numId w:val="1"/>
        </w:numPr>
        <w:spacing w:after="80"/>
      </w:pPr>
      <w:r>
        <w:rPr>
          <w:rFonts w:ascii="Calibri" w:cs="Calibri" w:eastAsia="Calibri" w:hAnsi="Calibri"/>
          <w:sz w:val="22"/>
          <w:szCs w:val="22"/>
        </w:rPr>
        <w:t xml:space="preserve">8. Risicoparagraaf — wat kan er misgaan, welke geschillenroute is van toepassing bij de meest waarschijnlijke geschiltypen (deel 20).</w:t>
      </w:r>
    </w:p>
    <w:p>
      <w:pPr>
        <w:pStyle w:val="ListParagraph"/>
        <w:numPr>
          <w:ilvl w:val="0"/>
          <w:numId w:val="1"/>
        </w:numPr>
        <w:spacing w:after="80"/>
      </w:pPr>
      <w:r>
        <w:rPr>
          <w:rFonts w:ascii="Calibri" w:cs="Calibri" w:eastAsia="Calibri" w:hAnsi="Calibri"/>
          <w:sz w:val="22"/>
          <w:szCs w:val="22"/>
        </w:rPr>
        <w:t xml:space="preserve">9. Openstaande punten — wat nog niet vaststaat en hoe daarmee wordt omgegaan.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nadrukkelijk niet volstaat:</w:t>
      </w:r>
      <w:r>
        <w:rPr>
          <w:rFonts w:ascii="Calibri" w:cs="Calibri" w:eastAsia="Calibri" w:hAnsi="Calibri"/>
          <w:b w:val="false"/>
          <w:bCs w:val="false"/>
          <w:i w:val="false"/>
          <w:iCs w:val="false"/>
          <w:sz w:val="22"/>
          <w:szCs w:val="22"/>
        </w:rPr>
        <w:t xml:space="preserve"> een aaneenschakeling van de negen onderdelen als losse hoofdstukken zonder onderlinge verwijzing. Een sterk rapport laat zien hoe de keuzes samenhangen — bijvoorbeeld: de keuze voor Route A of B (4) beïnvloedt de waarborgvraag, die weer het risico voor Karel bepaalt (8), wat weer terugkomt in de communicatie naar hem (6).</w:t>
      </w:r>
    </w:p>
    <w:p>
      <w:pPr>
        <w:spacing w:after="100"/>
      </w:pPr>
    </w:p>
    <w:p>
      <w:pPr>
        <w:pStyle w:val="Heading2"/>
        <w:spacing w:after="120" w:before="200"/>
      </w:pPr>
      <w:r>
        <w:rPr>
          <w:rFonts w:ascii="Georgia" w:cs="Georgia" w:eastAsia="Georgia" w:hAnsi="Georgia"/>
          <w:b/>
          <w:bCs/>
          <w:color w:val="2563A8"/>
          <w:sz w:val="28"/>
          <w:szCs w:val="28"/>
        </w:rPr>
        <w:t xml:space="preserve">21.5 De verdediging: vijf rollen</w:t>
      </w:r>
    </w:p>
    <w:p>
      <w:pPr>
        <w:spacing w:after="140" w:line="300"/>
      </w:pPr>
      <w:r>
        <w:rPr>
          <w:rFonts w:ascii="Calibri" w:cs="Calibri" w:eastAsia="Calibri" w:hAnsi="Calibri"/>
          <w:b w:val="false"/>
          <w:bCs w:val="false"/>
          <w:i w:val="false"/>
          <w:iCs w:val="false"/>
          <w:sz w:val="22"/>
          <w:szCs w:val="22"/>
        </w:rPr>
        <w:t xml:space="preserve">Meer rollen dan in de capstone van niveau 1 (deel 10), passend bij het grotere aantal onderwerpen in niveau 2:</w:t>
      </w:r>
    </w:p>
    <w:p>
      <w:pPr>
        <w:pStyle w:val="ListParagraph"/>
        <w:numPr>
          <w:ilvl w:val="0"/>
          <w:numId w:val="1"/>
        </w:numPr>
        <w:spacing w:after="80"/>
      </w:pPr>
      <w:r>
        <w:rPr>
          <w:rFonts w:ascii="Calibri" w:cs="Calibri" w:eastAsia="Calibri" w:hAnsi="Calibri"/>
          <w:sz w:val="22"/>
          <w:szCs w:val="22"/>
        </w:rPr>
        <w:t xml:space="preserve">Ferdi van Doorn (directeur) — kosten, risico’s, “wat als het misgaat”.</w:t>
      </w:r>
    </w:p>
    <w:p>
      <w:pPr>
        <w:pStyle w:val="ListParagraph"/>
        <w:numPr>
          <w:ilvl w:val="0"/>
          <w:numId w:val="1"/>
        </w:numPr>
        <w:spacing w:after="80"/>
      </w:pPr>
      <w:r>
        <w:rPr>
          <w:rFonts w:ascii="Calibri" w:cs="Calibri" w:eastAsia="Calibri" w:hAnsi="Calibri"/>
          <w:sz w:val="22"/>
          <w:szCs w:val="22"/>
        </w:rPr>
        <w:t xml:space="preserve">Ilse Groenewold (OR) — instemmingstraject, compensatie, communicatie.</w:t>
      </w:r>
    </w:p>
    <w:p>
      <w:pPr>
        <w:pStyle w:val="ListParagraph"/>
        <w:numPr>
          <w:ilvl w:val="0"/>
          <w:numId w:val="1"/>
        </w:numPr>
        <w:spacing w:after="80"/>
      </w:pPr>
      <w:r>
        <w:rPr>
          <w:rFonts w:ascii="Calibri" w:cs="Calibri" w:eastAsia="Calibri" w:hAnsi="Calibri"/>
          <w:sz w:val="22"/>
          <w:szCs w:val="22"/>
        </w:rPr>
        <w:t xml:space="preserve">Karel Sanders (deelnemer) — zijn premie, zijn nabestaandenpensioen, zijn keuzes rond de pensioendatum.</w:t>
      </w:r>
    </w:p>
    <w:p>
      <w:pPr>
        <w:pStyle w:val="ListParagraph"/>
        <w:numPr>
          <w:ilvl w:val="0"/>
          <w:numId w:val="1"/>
        </w:numPr>
        <w:spacing w:after="80"/>
      </w:pPr>
      <w:r>
        <w:rPr>
          <w:rFonts w:ascii="Calibri" w:cs="Calibri" w:eastAsia="Calibri" w:hAnsi="Calibri"/>
          <w:sz w:val="22"/>
          <w:szCs w:val="22"/>
        </w:rPr>
        <w:t xml:space="preserve">Nadia El Amrani (Meridiaan) — uitvoerbaarheid, acceptatievoorwaarden, aanlevertermijnen.</w:t>
      </w:r>
    </w:p>
    <w:p>
      <w:pPr>
        <w:pStyle w:val="ListParagraph"/>
        <w:numPr>
          <w:ilvl w:val="0"/>
          <w:numId w:val="1"/>
        </w:numPr>
        <w:spacing w:after="80"/>
      </w:pPr>
      <w:r>
        <w:rPr>
          <w:rFonts w:ascii="Calibri" w:cs="Calibri" w:eastAsia="Calibri" w:hAnsi="Calibri"/>
          <w:sz w:val="22"/>
          <w:szCs w:val="22"/>
        </w:rPr>
        <w:t xml:space="preserve">Een fictieve toezichtsvraag — de docent of een medecursist stelt, namens een fictieve AFM- of DNB-achtige rol, een vraag over zorgplicht, datakwaliteit of de geschillenroute.</w:t>
      </w:r>
    </w:p>
    <w:p>
      <w:pPr>
        <w:spacing w:after="140" w:line="300"/>
      </w:pPr>
      <w:r>
        <w:rPr>
          <w:rFonts w:ascii="Calibri" w:cs="Calibri" w:eastAsia="Calibri" w:hAnsi="Calibri"/>
          <w:b w:val="false"/>
          <w:bCs w:val="false"/>
          <w:i w:val="false"/>
          <w:iCs w:val="false"/>
          <w:sz w:val="22"/>
          <w:szCs w:val="22"/>
        </w:rPr>
        <w:t xml:space="preserve">De vijfde rol is nieuw ten opzichte van niveau 1 en toetst specifiek de kennis uit deel 18, 19 en 20 — de onderdelen die in de eerdere capstone nog niet aan de orde waren.</w:t>
      </w:r>
    </w:p>
    <w:p>
      <w:pPr>
        <w:spacing w:after="100"/>
      </w:pPr>
    </w:p>
    <w:p>
      <w:pPr>
        <w:pStyle w:val="Heading2"/>
        <w:spacing w:after="120" w:before="200"/>
      </w:pPr>
      <w:r>
        <w:rPr>
          <w:rFonts w:ascii="Georgia" w:cs="Georgia" w:eastAsia="Georgia" w:hAnsi="Georgia"/>
          <w:b/>
          <w:bCs/>
          <w:color w:val="2563A8"/>
          <w:sz w:val="28"/>
          <w:szCs w:val="28"/>
        </w:rPr>
        <w:t xml:space="preserve">21.6 Beoordelingsrubric</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Criterium</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Onvoldoende</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Voldoende</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Goed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 Klantprofiel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Ontbreekt of pro forma</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Alle vijf elementen aanwezig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Elementen concreet onderbouwd met dossierfeiten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 Integratie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Losse hoofdstukken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Onderdelen sluiten inhoudelijk op elkaar aan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Expliciete kruisverwijzingen tussen onderdelen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 Fiscale onderbouwing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Geen concrete bedragen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Bedragen in euro’s aanwezig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Bedragen consistent doorgerekend inclusief compensatie-effect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4. Overgangsrecht en risico</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Eerbiedigende werking of waarborgvraag ontbreekt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Beide behandeld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Beide expliciet tegen elkaar afgewogen met aanbeveling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5. Datakwaliteit en toezicht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Niet behandeld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Kort benoemd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Concrete controles en geschillenroute gekoppeld aan waarschijnlijke risico’s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6. Verdediging: register vs. verhaal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Wisselend verhaal per rol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Consistent verhaal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Consistent verhaal, met per rol passend detailniveau</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7. Eerlijkheid over onzekerheid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Suggereert volledige zekerheid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Benoemt open punten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Benoemt open punten mét concreet vervolgpad</w:t>
            </w:r>
          </w:p>
        </w:tc>
      </w:tr>
    </w:tbl>
    <w:p>
      <w:pPr>
        <w:spacing w:after="140" w:line="300"/>
      </w:pPr>
      <w:r>
        <w:rPr>
          <w:rFonts w:ascii="Calibri" w:cs="Calibri" w:eastAsia="Calibri" w:hAnsi="Calibri"/>
          <w:b w:val="false"/>
          <w:bCs w:val="false"/>
          <w:i w:val="false"/>
          <w:iCs w:val="false"/>
          <w:sz w:val="22"/>
          <w:szCs w:val="22"/>
        </w:rPr>
        <w:t xml:space="preserve">Criteria 6 en 7 wegen, net als in de capstone van niveau 1, dubbel. Dit is bewust: deze cursus beoordeelt niet alleen kennis maar het vermogen om die kennis eerlijk en consistent te presenteren aan verschillende belanghebbenden — de kern van het vak zelf.</w:t>
      </w:r>
    </w:p>
    <w:p>
      <w:pPr>
        <w:spacing w:after="100"/>
      </w:pPr>
    </w:p>
    <w:p>
      <w:pPr>
        <w:pStyle w:val="Heading2"/>
        <w:spacing w:after="120" w:before="200"/>
      </w:pPr>
      <w:r>
        <w:rPr>
          <w:rFonts w:ascii="Georgia" w:cs="Georgia" w:eastAsia="Georgia" w:hAnsi="Georgia"/>
          <w:b/>
          <w:bCs/>
          <w:color w:val="2563A8"/>
          <w:sz w:val="28"/>
          <w:szCs w:val="28"/>
        </w:rPr>
        <w:t xml:space="preserve">21.7 Doorstroomcriteria naar niveau 3</w:t>
      </w:r>
    </w:p>
    <w:p>
      <w:pPr>
        <w:spacing w:after="140" w:line="300"/>
      </w:pPr>
      <w:r>
        <w:rPr>
          <w:rFonts w:ascii="Calibri" w:cs="Calibri" w:eastAsia="Calibri" w:hAnsi="Calibri"/>
          <w:b w:val="false"/>
          <w:bCs w:val="false"/>
          <w:i w:val="false"/>
          <w:iCs w:val="false"/>
          <w:sz w:val="22"/>
          <w:szCs w:val="22"/>
        </w:rPr>
        <w:t xml:space="preserve">Je bent klaar voor niveau 3 als je, aanvullend op de criteria uit deel 10, ook het volgende beheerst:</w:t>
      </w:r>
    </w:p>
    <w:p>
      <w:pPr>
        <w:pStyle w:val="ListParagraph"/>
        <w:numPr>
          <w:ilvl w:val="0"/>
          <w:numId w:val="1"/>
        </w:numPr>
        <w:spacing w:after="80"/>
      </w:pPr>
      <w:r>
        <w:rPr>
          <w:rFonts w:ascii="Calibri" w:cs="Calibri" w:eastAsia="Calibri" w:hAnsi="Calibri"/>
          <w:sz w:val="22"/>
          <w:szCs w:val="22"/>
        </w:rPr>
        <w:t xml:space="preserve">1. Een compleet transitietraject zelfstandig plannen en uitvoeren, van diagnose tot geschillenroute, zonder hulp.</w:t>
      </w:r>
    </w:p>
    <w:p>
      <w:pPr>
        <w:pStyle w:val="ListParagraph"/>
        <w:numPr>
          <w:ilvl w:val="0"/>
          <w:numId w:val="1"/>
        </w:numPr>
        <w:spacing w:after="80"/>
      </w:pPr>
      <w:r>
        <w:rPr>
          <w:rFonts w:ascii="Calibri" w:cs="Calibri" w:eastAsia="Calibri" w:hAnsi="Calibri"/>
          <w:sz w:val="22"/>
          <w:szCs w:val="22"/>
        </w:rPr>
        <w:t xml:space="preserve">2. Het onderscheid tussen keuzebegeleiding, advies en toezicht correct toepassen in een nieuwe, onbekende situatie.</w:t>
      </w:r>
    </w:p>
    <w:p>
      <w:pPr>
        <w:pStyle w:val="ListParagraph"/>
        <w:numPr>
          <w:ilvl w:val="0"/>
          <w:numId w:val="1"/>
        </w:numPr>
        <w:spacing w:after="80"/>
      </w:pPr>
      <w:r>
        <w:rPr>
          <w:rFonts w:ascii="Calibri" w:cs="Calibri" w:eastAsia="Calibri" w:hAnsi="Calibri"/>
          <w:sz w:val="22"/>
          <w:szCs w:val="22"/>
        </w:rPr>
        <w:t xml:space="preserve">3. Datakwaliteit en procesrisico’s proactief signaleren, niet pas nadat zij zich als probleem hebben gemanifesteerd.</w:t>
      </w:r>
    </w:p>
    <w:p>
      <w:pPr>
        <w:spacing w:after="140" w:line="300"/>
      </w:pPr>
      <w:r>
        <w:rPr>
          <w:rFonts w:ascii="Calibri" w:cs="Calibri" w:eastAsia="Calibri" w:hAnsi="Calibri"/>
          <w:b w:val="false"/>
          <w:bCs w:val="false"/>
          <w:i w:val="false"/>
          <w:iCs w:val="false"/>
          <w:sz w:val="22"/>
          <w:szCs w:val="22"/>
        </w:rPr>
        <w:t xml:space="preserve">Waar niveau 1 vroeg om een dossier te kunnen </w:t>
      </w:r>
      <w:r>
        <w:rPr>
          <w:rFonts w:ascii="Calibri" w:cs="Calibri" w:eastAsia="Calibri" w:hAnsi="Calibri"/>
          <w:b w:val="false"/>
          <w:bCs w:val="false"/>
          <w:i/>
          <w:iCs/>
          <w:sz w:val="22"/>
          <w:szCs w:val="22"/>
        </w:rPr>
        <w:t xml:space="preserve">diagnosticeren</w:t>
      </w:r>
      <w:r>
        <w:rPr>
          <w:rFonts w:ascii="Calibri" w:cs="Calibri" w:eastAsia="Calibri" w:hAnsi="Calibri"/>
          <w:b w:val="false"/>
          <w:bCs w:val="false"/>
          <w:i w:val="false"/>
          <w:iCs w:val="false"/>
          <w:sz w:val="22"/>
          <w:szCs w:val="22"/>
        </w:rPr>
        <w:t xml:space="preserve">, en niveau 2 om het te kunnen </w:t>
      </w:r>
      <w:r>
        <w:rPr>
          <w:rFonts w:ascii="Calibri" w:cs="Calibri" w:eastAsia="Calibri" w:hAnsi="Calibri"/>
          <w:b w:val="false"/>
          <w:bCs w:val="false"/>
          <w:i/>
          <w:iCs/>
          <w:sz w:val="22"/>
          <w:szCs w:val="22"/>
        </w:rPr>
        <w:t xml:space="preserve">uitvoeren</w:t>
      </w:r>
      <w:r>
        <w:rPr>
          <w:rFonts w:ascii="Calibri" w:cs="Calibri" w:eastAsia="Calibri" w:hAnsi="Calibri"/>
          <w:b w:val="false"/>
          <w:bCs w:val="false"/>
          <w:i w:val="false"/>
          <w:iCs w:val="false"/>
          <w:sz w:val="22"/>
          <w:szCs w:val="22"/>
        </w:rPr>
        <w:t xml:space="preserve">, vraagt niveau 3 om het vak op expertniveau te kunnen </w:t>
      </w:r>
      <w:r>
        <w:rPr>
          <w:rFonts w:ascii="Calibri" w:cs="Calibri" w:eastAsia="Calibri" w:hAnsi="Calibri"/>
          <w:b w:val="false"/>
          <w:bCs w:val="false"/>
          <w:i/>
          <w:iCs/>
          <w:sz w:val="22"/>
          <w:szCs w:val="22"/>
        </w:rPr>
        <w:t xml:space="preserve">doordenken</w:t>
      </w:r>
      <w:r>
        <w:rPr>
          <w:rFonts w:ascii="Calibri" w:cs="Calibri" w:eastAsia="Calibri" w:hAnsi="Calibri"/>
          <w:b w:val="false"/>
          <w:bCs w:val="false"/>
          <w:i w:val="false"/>
          <w:iCs w:val="false"/>
          <w:sz w:val="22"/>
          <w:szCs w:val="22"/>
        </w:rPr>
        <w:t xml:space="preserve"> — inclusief de juridische en ethische grensgevallen die in een dagelijkse adviespraktijk zelden voorkomen, maar wanneer zij zich voordoen, het zwaarst wegen.</w:t>
      </w:r>
    </w:p>
    <w:p>
      <w:pPr>
        <w:spacing w:after="100"/>
      </w:pPr>
    </w:p>
    <w:p>
      <w:pPr>
        <w:pStyle w:val="Heading2"/>
        <w:spacing w:after="120" w:before="200"/>
      </w:pPr>
      <w:r>
        <w:rPr>
          <w:rFonts w:ascii="Georgia" w:cs="Georgia" w:eastAsia="Georgia" w:hAnsi="Georgia"/>
          <w:b/>
          <w:bCs/>
          <w:color w:val="2563A8"/>
          <w:sz w:val="28"/>
          <w:szCs w:val="28"/>
        </w:rPr>
        <w:t xml:space="preserve">21.8 Wat er in niveau 3 komt</w:t>
      </w:r>
    </w:p>
    <w:p>
      <w:pPr>
        <w:spacing w:after="140" w:line="300"/>
      </w:pPr>
      <w:r>
        <w:rPr>
          <w:rFonts w:ascii="Calibri" w:cs="Calibri" w:eastAsia="Calibri" w:hAnsi="Calibri"/>
          <w:b w:val="false"/>
          <w:bCs w:val="false"/>
          <w:i w:val="false"/>
          <w:iCs w:val="false"/>
          <w:sz w:val="22"/>
          <w:szCs w:val="22"/>
        </w:rPr>
        <w:t xml:space="preserve">Niveau 3 (deel 22 tot en met 30) gaat van uitvoering naar expertise: pensioenrecht gevorderd, het overgangsrecht juridisch doorgrond, evenwichtige belangenafweging, grensoverschrijdend pensioen, DGA en zzp, productontwikkeling bij een verzekeraar, actuariële grondslagen, en een masterproef waarin een compleet, onvoorzien dossier moet worden doorgrond en verdedigd.</w:t>
      </w:r>
    </w:p>
    <w:p>
      <w:pPr>
        <w:spacing w:after="140" w:line="300"/>
      </w:pPr>
      <w:r>
        <w:rPr>
          <w:rFonts w:ascii="Calibri" w:cs="Calibri" w:eastAsia="Calibri" w:hAnsi="Calibri"/>
          <w:b w:val="false"/>
          <w:bCs w:val="false"/>
          <w:i w:val="false"/>
          <w:iCs w:val="false"/>
          <w:sz w:val="22"/>
          <w:szCs w:val="22"/>
        </w:rPr>
        <w:t xml:space="preserve">De casus loopt door: Van Doorn is dan geïmplementeerd, Bpf T&amp;I heeft ingevaren, en Delta Chemie heeft een besluit genomen over zijn voortbestaan — met nieuwe vraagstukken die uit die beslissingen voortvloeien.</w:t>
      </w:r>
    </w:p>
    <w:p>
      <w:pPr>
        <w:spacing w:after="100"/>
      </w:pPr>
    </w:p>
    <w:p>
      <w:pPr>
        <w:pStyle w:val="Heading2"/>
        <w:spacing w:after="120" w:before="200"/>
      </w:pPr>
      <w:r>
        <w:rPr>
          <w:rFonts w:ascii="Georgia" w:cs="Georgia" w:eastAsia="Georgia" w:hAnsi="Georgia"/>
          <w:b/>
          <w:bCs/>
          <w:color w:val="2563A8"/>
          <w:sz w:val="28"/>
          <w:szCs w:val="28"/>
        </w:rPr>
        <w:t xml:space="preserve">21.9 Slotopmerking bij niveau 2</w:t>
      </w:r>
    </w:p>
    <w:p>
      <w:pPr>
        <w:spacing w:after="140" w:line="300"/>
      </w:pPr>
      <w:r>
        <w:rPr>
          <w:rFonts w:ascii="Calibri" w:cs="Calibri" w:eastAsia="Calibri" w:hAnsi="Calibri"/>
          <w:b w:val="false"/>
          <w:bCs w:val="false"/>
          <w:i w:val="false"/>
          <w:iCs w:val="false"/>
          <w:sz w:val="22"/>
          <w:szCs w:val="22"/>
        </w:rPr>
        <w:t xml:space="preserve">Niveau 1 eindigde met de vraag wie het volledige dossier van een deelnemer overziet, en het antwoord: niemand automatisch. Niveau 2 heeft laten zien wát er allemaal nodig is om dat overzicht, stap voor stap, tóch te construeren: rekenwerk, productkennis, procesdiscipline, communicatie, verantwoordelijkheid, datakwaliteit, en het vangnet voor wanneer het misgaat.</w:t>
      </w:r>
    </w:p>
    <w:p>
      <w:pPr>
        <w:spacing w:after="140" w:line="300"/>
      </w:pPr>
      <w:r>
        <w:rPr>
          <w:rFonts w:ascii="Calibri" w:cs="Calibri" w:eastAsia="Calibri" w:hAnsi="Calibri"/>
          <w:b w:val="false"/>
          <w:bCs w:val="false"/>
          <w:i w:val="false"/>
          <w:iCs w:val="false"/>
          <w:sz w:val="22"/>
          <w:szCs w:val="22"/>
        </w:rPr>
        <w:t xml:space="preserve">Dat is geen afgerond geheel dat je één keer leert en daarna kunt toepassen — het is een discipline die bij elk nieuw dossier opnieuw wordt uitgeoefend. De capstone van dit deel is daarin geen eindpunt maar een generale repetitie voor het echte werk.</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2 — Uitvoering en advies · Deel 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2026-08-17T11:22:45.661Z</dcterms:created>
  <dcterms:modified xsi:type="dcterms:W3CDTF">2026-08-17T11:22:45.661Z</dcterms:modified>
</cp:coreProperties>
</file>

<file path=docProps/custom.xml><?xml version="1.0" encoding="utf-8"?>
<Properties xmlns="http://schemas.openxmlformats.org/officeDocument/2006/custom-properties" xmlns:vt="http://schemas.openxmlformats.org/officeDocument/2006/docPropsVTypes"/>
</file>