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21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21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Capstone-ondersteuning</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Deel A — Voorbereidende opdrachten</w:t>
      </w:r>
    </w:p>
    <w:p>
      <w:pPr>
        <w:pStyle w:val="Heading2"/>
        <w:spacing w:after="120" w:before="200"/>
      </w:pPr>
      <w:r>
        <w:rPr>
          <w:rFonts w:ascii="Georgia" w:cs="Georgia" w:eastAsia="Georgia" w:hAnsi="Georgia"/>
          <w:b/>
          <w:bCs/>
          <w:color w:val="2563A8"/>
          <w:sz w:val="28"/>
          <w:szCs w:val="28"/>
        </w:rPr>
        <w:t xml:space="preserve">Opdracht 21.1 — Inventariseer je eigen bouwstenen</w:t>
      </w:r>
    </w:p>
    <w:p>
      <w:pPr>
        <w:spacing w:after="140" w:line="300"/>
      </w:pPr>
      <w:r>
        <w:rPr>
          <w:rFonts w:ascii="Calibri" w:cs="Calibri" w:eastAsia="Calibri" w:hAnsi="Calibri"/>
          <w:b w:val="false"/>
          <w:bCs w:val="false"/>
          <w:i w:val="false"/>
          <w:iCs w:val="false"/>
          <w:sz w:val="22"/>
          <w:szCs w:val="22"/>
        </w:rPr>
        <w:t xml:space="preserve">Voordat je aan het adviesrapport begint: haal je beslisnotitie uit deel 15 (opdracht 15.7) en je communicatiebeleid uit deel 17 (opdracht 17.8) erbij. Noteer voor elk document: welke van de negen verplichte onderdelen uit paragraaf 21.4 dekken zij al, en welke vijf tot zes onderdelen moet je nog toevoegen?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In de regel dekt de beslisnotitie uit deel 15 de onderdelen 2 (diagnose), 4 (Route A/B) en deels 9 (openstaande punten); het communicatiebeleid uit deel 17 dekt onderdeel 6. Onderdelen 1 (klantprofiel), 3 (productadvies), 5 (bestaande aanspraken), 7 (datakwaliteit) en 8 (risicoparagraaf) moeten in de regel nog worden toegevoegd. Wie bij deze inventarisatie ontdekt dat hij deel 15 of 17 niet grondig genoeg heeft gemaakt, moet dat nu inhalen — niet pas bij het schrijven van het volledige rapport.</w:t>
            </w:r>
          </w:p>
        </w:tc>
      </w:tr>
    </w:tbl>
    <w:p>
      <w:pPr>
        <w:spacing w:after="100"/>
      </w:pPr>
    </w:p>
    <w:p>
      <w:pPr>
        <w:pStyle w:val="Heading2"/>
        <w:spacing w:after="120" w:before="200"/>
      </w:pPr>
      <w:r>
        <w:rPr>
          <w:rFonts w:ascii="Georgia" w:cs="Georgia" w:eastAsia="Georgia" w:hAnsi="Georgia"/>
          <w:b/>
          <w:bCs/>
          <w:color w:val="2563A8"/>
          <w:sz w:val="28"/>
          <w:szCs w:val="28"/>
        </w:rPr>
        <w:t xml:space="preserve">Opdracht 21.2 — Het klantprofiel formeel vastleggen</w:t>
      </w:r>
    </w:p>
    <w:p>
      <w:pPr>
        <w:spacing w:after="140" w:line="300"/>
      </w:pPr>
      <w:r>
        <w:rPr>
          <w:rFonts w:ascii="Calibri" w:cs="Calibri" w:eastAsia="Calibri" w:hAnsi="Calibri"/>
          <w:b w:val="false"/>
          <w:bCs w:val="false"/>
          <w:i w:val="false"/>
          <w:iCs w:val="false"/>
          <w:sz w:val="22"/>
          <w:szCs w:val="22"/>
        </w:rPr>
        <w:t xml:space="preserve">Schrijf, als eerste bouwsteen van het rapport, het formele klantprofiel van Van Doorn Techniek uit — de vijf elementen uit deel 18, elk met minstens twee concrete, aan het dossier ontleende gegevens.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(zie ook opdracht 18.2 als basis). Beoordelingscriterium: elk element bevat gegevens die specifiek aan Van Doorn zijn te herleiden — niet generieke uitspraken die op elke werkgever van toepassing zouden zijn.</w:t>
            </w:r>
          </w:p>
        </w:tc>
      </w:tr>
    </w:tbl>
    <w:p>
      <w:pPr>
        <w:spacing w:after="100"/>
      </w:pPr>
    </w:p>
    <w:p>
      <w:pPr>
        <w:pStyle w:val="Heading2"/>
        <w:spacing w:after="120" w:before="200"/>
      </w:pPr>
      <w:r>
        <w:rPr>
          <w:rFonts w:ascii="Georgia" w:cs="Georgia" w:eastAsia="Georgia" w:hAnsi="Georgia"/>
          <w:b/>
          <w:bCs/>
          <w:color w:val="2563A8"/>
          <w:sz w:val="28"/>
          <w:szCs w:val="28"/>
        </w:rPr>
        <w:t xml:space="preserve">Opdracht 21.3 — De kruisverwijzingen expliciet maken</w:t>
      </w:r>
    </w:p>
    <w:p>
      <w:pPr>
        <w:spacing w:after="140" w:line="300"/>
      </w:pPr>
      <w:r>
        <w:rPr>
          <w:rFonts w:ascii="Calibri" w:cs="Calibri" w:eastAsia="Calibri" w:hAnsi="Calibri"/>
          <w:b w:val="false"/>
          <w:bCs w:val="false"/>
          <w:i w:val="false"/>
          <w:iCs w:val="false"/>
          <w:sz w:val="22"/>
          <w:szCs w:val="22"/>
        </w:rPr>
        <w:t xml:space="preserve">Kies drie van de negen onderdelen uit paragraaf 21.4 en beschrijf voor elk paar een concrete zin die de twee onderdelen inhoudelijk met elkaar verbindt (zoals het voorbeeld in de reader: Route A/B → waarborgvraag → risico Karel → communicatie).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 Productadvies (3) en risicoparagraaf (8): “De keuze voor een lifecycle zonder generieke garantie (onderdeel 3) betekent dat het beleggingsrisico bij individuele deelnemers ligt; mocht een deelnemer hierover een geschil aanspannen, dan is niet DNB maar de AFM en uiteindelijk Kifid de relevante route (onderdeel 8), omdat het hier om gedrag en communicatie gaat, niet om financiële soliditeit.” Beoordelingslijn: de verbindende zin moet een inhoudelijke, niet alleen een structurele koppeling laten zien.</w:t>
            </w:r>
          </w:p>
        </w:tc>
      </w:tr>
    </w:tbl>
    <w:p>
      <w:pPr>
        <w:spacing w:after="100"/>
      </w:pPr>
    </w:p>
    <w:p>
      <w:pPr>
        <w:pStyle w:val="Heading2"/>
        <w:spacing w:after="120" w:before="200"/>
      </w:pPr>
      <w:r>
        <w:rPr>
          <w:rFonts w:ascii="Georgia" w:cs="Georgia" w:eastAsia="Georgia" w:hAnsi="Georgia"/>
          <w:b/>
          <w:bCs/>
          <w:color w:val="2563A8"/>
          <w:sz w:val="28"/>
          <w:szCs w:val="28"/>
        </w:rPr>
        <w:t xml:space="preserve">Deel B — Het complete rapport</w:t>
      </w:r>
    </w:p>
    <w:p>
      <w:pPr>
        <w:pStyle w:val="Heading2"/>
        <w:spacing w:after="120" w:before="200"/>
      </w:pPr>
      <w:r>
        <w:rPr>
          <w:rFonts w:ascii="Georgia" w:cs="Georgia" w:eastAsia="Georgia" w:hAnsi="Georgia"/>
          <w:b/>
          <w:bCs/>
          <w:color w:val="2563A8"/>
          <w:sz w:val="28"/>
          <w:szCs w:val="28"/>
        </w:rPr>
        <w:t xml:space="preserve">Opdracht 21.4 — Schrijf het rapport</w:t>
      </w:r>
    </w:p>
    <w:p>
      <w:pPr>
        <w:spacing w:after="140" w:line="300"/>
      </w:pPr>
      <w:r>
        <w:rPr>
          <w:rFonts w:ascii="Calibri" w:cs="Calibri" w:eastAsia="Calibri" w:hAnsi="Calibri"/>
          <w:b w:val="false"/>
          <w:bCs w:val="false"/>
          <w:i w:val="false"/>
          <w:iCs w:val="false"/>
          <w:sz w:val="22"/>
          <w:szCs w:val="22"/>
        </w:rPr>
        <w:t xml:space="preserve">Volg de opzet uit paragraaf 21.4 van de reader. Maximaal acht pagina’s. Gebruik de zelfcheck hieronder vóór je het inlevert.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Zelfcheck:</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 ] Alle negen onderdelen aanwezig</w:t>
      </w:r>
    </w:p>
    <w:p>
      <w:pPr>
        <w:pStyle w:val="ListParagraph"/>
        <w:numPr>
          <w:ilvl w:val="0"/>
          <w:numId w:val="1"/>
        </w:numPr>
        <w:spacing w:after="80"/>
      </w:pPr>
      <w:r>
        <w:rPr>
          <w:rFonts w:ascii="Calibri" w:cs="Calibri" w:eastAsia="Calibri" w:hAnsi="Calibri"/>
          <w:sz w:val="22"/>
          <w:szCs w:val="22"/>
        </w:rPr>
        <w:t xml:space="preserve">[ ] Minstens drie expliciete kruisverwijzingen tussen onderdelen</w:t>
      </w:r>
    </w:p>
    <w:p>
      <w:pPr>
        <w:pStyle w:val="ListParagraph"/>
        <w:numPr>
          <w:ilvl w:val="0"/>
          <w:numId w:val="1"/>
        </w:numPr>
        <w:spacing w:after="80"/>
      </w:pPr>
      <w:r>
        <w:rPr>
          <w:rFonts w:ascii="Calibri" w:cs="Calibri" w:eastAsia="Calibri" w:hAnsi="Calibri"/>
          <w:sz w:val="22"/>
          <w:szCs w:val="22"/>
        </w:rPr>
        <w:t xml:space="preserve">[ ] Alle bedragen in euro’s, geen kale percentages</w:t>
      </w:r>
    </w:p>
    <w:p>
      <w:pPr>
        <w:pStyle w:val="ListParagraph"/>
        <w:numPr>
          <w:ilvl w:val="0"/>
          <w:numId w:val="1"/>
        </w:numPr>
        <w:spacing w:after="80"/>
      </w:pPr>
      <w:r>
        <w:rPr>
          <w:rFonts w:ascii="Calibri" w:cs="Calibri" w:eastAsia="Calibri" w:hAnsi="Calibri"/>
          <w:sz w:val="22"/>
          <w:szCs w:val="22"/>
        </w:rPr>
        <w:t xml:space="preserve">[ ] De datum 30 juni 2026 (of de voor je scenario relevante contractuele deadline) staat in het rapport</w:t>
      </w:r>
    </w:p>
    <w:p>
      <w:pPr>
        <w:pStyle w:val="ListParagraph"/>
        <w:numPr>
          <w:ilvl w:val="0"/>
          <w:numId w:val="1"/>
        </w:numPr>
        <w:spacing w:after="80"/>
      </w:pPr>
      <w:r>
        <w:rPr>
          <w:rFonts w:ascii="Calibri" w:cs="Calibri" w:eastAsia="Calibri" w:hAnsi="Calibri"/>
          <w:sz w:val="22"/>
          <w:szCs w:val="22"/>
        </w:rPr>
        <w:t xml:space="preserve">[ ] Het woord “gemiddeld” komt nergens voor als geruststelling</w:t>
      </w:r>
    </w:p>
    <w:p>
      <w:pPr>
        <w:pStyle w:val="ListParagraph"/>
        <w:numPr>
          <w:ilvl w:val="0"/>
          <w:numId w:val="1"/>
        </w:numPr>
        <w:spacing w:after="80"/>
      </w:pPr>
      <w:r>
        <w:rPr>
          <w:rFonts w:ascii="Calibri" w:cs="Calibri" w:eastAsia="Calibri" w:hAnsi="Calibri"/>
          <w:sz w:val="22"/>
          <w:szCs w:val="22"/>
        </w:rPr>
        <w:t xml:space="preserve">[ ] De geschillenroute voor minstens één waarschijnlijk geschiltype is benoemd</w:t>
      </w:r>
    </w:p>
    <w:p>
      <w:pPr>
        <w:pStyle w:val="ListParagraph"/>
        <w:numPr>
          <w:ilvl w:val="0"/>
          <w:numId w:val="1"/>
        </w:numPr>
        <w:spacing w:after="80"/>
      </w:pPr>
      <w:r>
        <w:rPr>
          <w:rFonts w:ascii="Calibri" w:cs="Calibri" w:eastAsia="Calibri" w:hAnsi="Calibri"/>
          <w:sz w:val="22"/>
          <w:szCs w:val="22"/>
        </w:rPr>
        <w:t xml:space="preserve">[ ] Onderdeel 9 (openstaande punten) is niet leeg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dit is het hoofdproduct van deel 21.</w:t>
            </w:r>
          </w:p>
        </w:tc>
      </w:tr>
    </w:tbl>
    <w:p>
      <w:pPr>
        <w:spacing w:after="100"/>
      </w:pPr>
    </w:p>
    <w:p>
      <w:pPr>
        <w:pStyle w:val="Heading2"/>
        <w:spacing w:after="120" w:before="200"/>
      </w:pPr>
      <w:r>
        <w:rPr>
          <w:rFonts w:ascii="Georgia" w:cs="Georgia" w:eastAsia="Georgia" w:hAnsi="Georgia"/>
          <w:b/>
          <w:bCs/>
          <w:color w:val="2563A8"/>
          <w:sz w:val="28"/>
          <w:szCs w:val="28"/>
        </w:rPr>
        <w:t xml:space="preserve">Deel C — Voorbereiding op de verdediging</w:t>
      </w:r>
    </w:p>
    <w:p>
      <w:pPr>
        <w:pStyle w:val="Heading2"/>
        <w:spacing w:after="120" w:before="200"/>
      </w:pPr>
      <w:r>
        <w:rPr>
          <w:rFonts w:ascii="Georgia" w:cs="Georgia" w:eastAsia="Georgia" w:hAnsi="Georgia"/>
          <w:b/>
          <w:bCs/>
          <w:color w:val="2563A8"/>
          <w:sz w:val="28"/>
          <w:szCs w:val="28"/>
        </w:rPr>
        <w:t xml:space="preserve">Opdracht 21.5 — De vijfde rol voorbereiden</w:t>
      </w:r>
    </w:p>
    <w:p>
      <w:pPr>
        <w:spacing w:after="140" w:line="300"/>
      </w:pPr>
      <w:r>
        <w:rPr>
          <w:rFonts w:ascii="Calibri" w:cs="Calibri" w:eastAsia="Calibri" w:hAnsi="Calibri"/>
          <w:b w:val="false"/>
          <w:bCs w:val="false"/>
          <w:i w:val="false"/>
          <w:iCs w:val="false"/>
          <w:sz w:val="22"/>
          <w:szCs w:val="22"/>
        </w:rPr>
        <w:t xml:space="preserve">De vijfde rol in de verdediging (paragraaf 21.5) stelt een vraag namens een fictieve toezichthouder. Formuleer voor jezelf drie mogelijke vragen die deze rol zou kunnen stellen, gebaseerd op deel 18, 19 en 20, en schrijf voor elke vraag een kort antwoord.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w:t>
            </w:r>
          </w:p>
        </w:tc>
      </w:tr>
    </w:tbl>
    <w:p>
      <w:pPr>
        <w:spacing w:after="140" w:line="300"/>
      </w:pPr>
      <w:r>
        <w:rPr>
          <w:rFonts w:ascii="Calibri" w:cs="Calibri" w:eastAsia="Calibri" w:hAnsi="Calibri"/>
          <w:b w:val="false"/>
          <w:bCs w:val="false"/>
          <w:i/>
          <w:iCs/>
          <w:sz w:val="22"/>
          <w:szCs w:val="22"/>
        </w:rPr>
        <w:t xml:space="preserve">Vraag 1 (zorgplicht, deel 18):</w:t>
      </w:r>
      <w:r>
        <w:rPr>
          <w:rFonts w:ascii="Calibri" w:cs="Calibri" w:eastAsia="Calibri" w:hAnsi="Calibri"/>
          <w:b w:val="false"/>
          <w:bCs w:val="false"/>
          <w:i w:val="false"/>
          <w:iCs w:val="false"/>
          <w:sz w:val="22"/>
          <w:szCs w:val="22"/>
        </w:rPr>
        <w:t xml:space="preserve"> “Hoe heeft u het klantprofiel van Van Doorn vastgelegd, en is dat toetsbaar?” Antwoord: verwijzen naar het schriftelijke klantprofiel in het rapport zelf.</w:t>
      </w:r>
    </w:p>
    <w:p>
      <w:pPr>
        <w:spacing w:after="140" w:line="300"/>
      </w:pPr>
      <w:r>
        <w:rPr>
          <w:rFonts w:ascii="Calibri" w:cs="Calibri" w:eastAsia="Calibri" w:hAnsi="Calibri"/>
          <w:b w:val="false"/>
          <w:bCs w:val="false"/>
          <w:i/>
          <w:iCs/>
          <w:sz w:val="22"/>
          <w:szCs w:val="22"/>
        </w:rPr>
        <w:t xml:space="preserve">Vraag 2 (datakwaliteit, deel 19):</w:t>
      </w:r>
      <w:r>
        <w:rPr>
          <w:rFonts w:ascii="Calibri" w:cs="Calibri" w:eastAsia="Calibri" w:hAnsi="Calibri"/>
          <w:b w:val="false"/>
          <w:bCs w:val="false"/>
          <w:i w:val="false"/>
          <w:iCs w:val="false"/>
          <w:sz w:val="22"/>
          <w:szCs w:val="22"/>
        </w:rPr>
        <w:t xml:space="preserve"> “Hoe controleert u dat het bestand waarop uw advies is gebaseerd nog actueel is op de daadwerkelijke ingangsdatum?” Antwoord: verwijzen naar de datakwaliteitsparagraaf en de vijf implementatiecontroles uit deel 19.</w:t>
      </w:r>
    </w:p>
    <w:p>
      <w:pPr>
        <w:spacing w:after="140" w:line="300"/>
      </w:pPr>
      <w:r>
        <w:rPr>
          <w:rFonts w:ascii="Calibri" w:cs="Calibri" w:eastAsia="Calibri" w:hAnsi="Calibri"/>
          <w:b w:val="false"/>
          <w:bCs w:val="false"/>
          <w:i/>
          <w:iCs/>
          <w:sz w:val="22"/>
          <w:szCs w:val="22"/>
        </w:rPr>
        <w:t xml:space="preserve">Vraag 3 (toezicht, deel 20):</w:t>
      </w:r>
      <w:r>
        <w:rPr>
          <w:rFonts w:ascii="Calibri" w:cs="Calibri" w:eastAsia="Calibri" w:hAnsi="Calibri"/>
          <w:b w:val="false"/>
          <w:bCs w:val="false"/>
          <w:i w:val="false"/>
          <w:iCs w:val="false"/>
          <w:sz w:val="22"/>
          <w:szCs w:val="22"/>
        </w:rPr>
        <w:t xml:space="preserve"> “Als Karel het niet eens is met zijn nieuwe nabestaandenpensioen, welke route volgt hij?” Antwoord: interne klacht bij Meridiaan, dan Kifid.</w:t>
      </w:r>
    </w:p>
    <w:p>
      <w:pPr>
        <w:spacing w:after="100"/>
      </w:pPr>
    </w:p>
    <w:p>
      <w:pPr>
        <w:pStyle w:val="Heading2"/>
        <w:spacing w:after="120" w:before="200"/>
      </w:pPr>
      <w:r>
        <w:rPr>
          <w:rFonts w:ascii="Georgia" w:cs="Georgia" w:eastAsia="Georgia" w:hAnsi="Georgia"/>
          <w:b/>
          <w:bCs/>
          <w:color w:val="2563A8"/>
          <w:sz w:val="28"/>
          <w:szCs w:val="28"/>
        </w:rPr>
        <w:t xml:space="preserve">Opdracht 21.6 — Register versus verhaal, nu met vijf rollen</w:t>
      </w:r>
    </w:p>
    <w:p>
      <w:pPr>
        <w:spacing w:after="140" w:line="300"/>
      </w:pPr>
      <w:r>
        <w:rPr>
          <w:rFonts w:ascii="Calibri" w:cs="Calibri" w:eastAsia="Calibri" w:hAnsi="Calibri"/>
          <w:b w:val="false"/>
          <w:bCs w:val="false"/>
          <w:i w:val="false"/>
          <w:iCs w:val="false"/>
          <w:sz w:val="22"/>
          <w:szCs w:val="22"/>
        </w:rPr>
        <w:t xml:space="preserve">Schrijf voor elk van de vijf rollen (Ferdi, Ilse, Karel, Nadia, de toezichtsrol) de openingszin waarmee je hen te woord zou staan als zij als eerste het woord nemen in de verdediging. Controleer daarna: vertellen alle vijf openingszinnen feitelijk hetzelfde verhaal, ook al verschilt de toon?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Beoordelingscriterium, identiek aan de capstone van niveau 1: het register (woordkeus, volgorde, detailniveau) mag verschillen; het onderliggende feitenverhaal niet. Wie tegen Ferdi een ander beeld schetst dan tegen Karel, faalt op criterium 6 van de rubric nog vóór de eigenlijke verdediging is begonnen.</w:t>
            </w:r>
          </w:p>
        </w:tc>
      </w:tr>
    </w:tbl>
    <w:p>
      <w:pPr>
        <w:spacing w:after="100"/>
      </w:pPr>
    </w:p>
    <w:p>
      <w:pPr>
        <w:pStyle w:val="Heading2"/>
        <w:spacing w:after="120" w:before="200"/>
      </w:pPr>
      <w:r>
        <w:rPr>
          <w:rFonts w:ascii="Georgia" w:cs="Georgia" w:eastAsia="Georgia" w:hAnsi="Georgia"/>
          <w:b/>
          <w:bCs/>
          <w:color w:val="2563A8"/>
          <w:sz w:val="28"/>
          <w:szCs w:val="28"/>
        </w:rPr>
        <w:t xml:space="preserve">Deel D — Reflectie</w:t>
      </w:r>
    </w:p>
    <w:p>
      <w:pPr>
        <w:pStyle w:val="Heading2"/>
        <w:spacing w:after="120" w:before="200"/>
      </w:pPr>
      <w:r>
        <w:rPr>
          <w:rFonts w:ascii="Georgia" w:cs="Georgia" w:eastAsia="Georgia" w:hAnsi="Georgia"/>
          <w:b/>
          <w:bCs/>
          <w:color w:val="2563A8"/>
          <w:sz w:val="28"/>
          <w:szCs w:val="28"/>
        </w:rPr>
        <w:t xml:space="preserve">Opdracht 21.7 — Zelftoets doorstroomcriteria</w:t>
      </w:r>
    </w:p>
    <w:p>
      <w:pPr>
        <w:spacing w:after="140" w:line="300"/>
      </w:pPr>
      <w:r>
        <w:rPr>
          <w:rFonts w:ascii="Calibri" w:cs="Calibri" w:eastAsia="Calibri" w:hAnsi="Calibri"/>
          <w:b w:val="false"/>
          <w:bCs w:val="false"/>
          <w:i w:val="false"/>
          <w:iCs w:val="false"/>
          <w:sz w:val="22"/>
          <w:szCs w:val="22"/>
        </w:rPr>
        <w:t xml:space="preserve">Beoordeel jezelf op de drie doorstroomcriteria uit paragraaf 21.7. Voor elk criterium: geef een voorbeeld uit je eigen rapport of verdediging dat aantoont dat je het beheerst, of benoem expliciet waar je nog onzeker over bent.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persoonlijke zelftoets. De docent bespreekt dit niet plenair tenzij een deelnemer dat zelf aanbiedt, conform de aanpak bij de zelftoets in deel 10.</w:t>
            </w:r>
          </w:p>
        </w:tc>
      </w:tr>
    </w:tbl>
    <w:p>
      <w:pPr>
        <w:spacing w:after="100"/>
      </w:pPr>
    </w:p>
    <w:p>
      <w:pPr>
        <w:pStyle w:val="Heading2"/>
        <w:spacing w:after="120" w:before="200"/>
      </w:pPr>
      <w:r>
        <w:rPr>
          <w:rFonts w:ascii="Georgia" w:cs="Georgia" w:eastAsia="Georgia" w:hAnsi="Georgia"/>
          <w:b/>
          <w:bCs/>
          <w:color w:val="2563A8"/>
          <w:sz w:val="28"/>
          <w:szCs w:val="28"/>
        </w:rPr>
        <w:t xml:space="preserve">Opdracht 21.8 — De cursus in één zin per niveau</w:t>
      </w:r>
    </w:p>
    <w:p>
      <w:pPr>
        <w:spacing w:after="140" w:line="300"/>
      </w:pPr>
      <w:r>
        <w:rPr>
          <w:rFonts w:ascii="Calibri" w:cs="Calibri" w:eastAsia="Calibri" w:hAnsi="Calibri"/>
          <w:b w:val="false"/>
          <w:bCs w:val="false"/>
          <w:i w:val="false"/>
          <w:iCs w:val="false"/>
          <w:sz w:val="22"/>
          <w:szCs w:val="22"/>
        </w:rPr>
        <w:t xml:space="preserve">Vat niveau 1 samen in één zin, en niveau 2 in één zin. Vergelijk daarna met de zin waarmee deel 1 begon: “niet-Wtp is geen fout; niet-Wtp zonder geldige overgangsgrond ná de uiterste datum wel.”</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Ter illustratie: niveau 1 zou kunnen worden samengevat als “weten wanneer een regeling conform is, en wat er gebeurt als dat niet zo is”; niveau 2 als “weten hoe je dat inzicht vertaalt naar een concreet, verdedigbaar, uitvoerbaar traject.” Deze opdracht is bedoeld als persoonlijke afsluiting, niet als getoetste vaardigheid.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2026-08-17T11:22:45.696Z</dcterms:created>
  <dcterms:modified xsi:type="dcterms:W3CDTF">2026-08-17T11:22:45.696Z</dcterms:modified>
</cp:coreProperties>
</file>

<file path=docProps/custom.xml><?xml version="1.0" encoding="utf-8"?>
<Properties xmlns="http://schemas.openxmlformats.org/officeDocument/2006/custom-properties" xmlns:vt="http://schemas.openxmlformats.org/officeDocument/2006/docPropsVTypes"/>
</file>