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22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22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Niveau 3 opent met een registerwissel: van uitvoerend vakmanschap naar juridische diepgang. Deelnemers moeten wennen aan het lezen van rechtspraak en het toepassen van open normen (“zwaarwichtig belang”, “objectieve rechtvaardiging”) in plaats van vaste rekenregels. Twee dingen moeten landen:</w:t>
      </w:r>
    </w:p>
    <w:p>
      <w:pPr>
        <w:pStyle w:val="ListParagraph"/>
        <w:numPr>
          <w:ilvl w:val="0"/>
          <w:numId w:val="1"/>
        </w:numPr>
        <w:spacing w:after="80"/>
      </w:pPr>
      <w:r>
        <w:rPr>
          <w:rFonts w:ascii="Calibri" w:cs="Calibri" w:eastAsia="Calibri" w:hAnsi="Calibri"/>
          <w:sz w:val="22"/>
          <w:szCs w:val="22"/>
        </w:rPr>
        <w:t xml:space="preserve">1. Instemming van de OR is een gezichtspunt, geen vrijbrief. Dit corrigeert een impliciete aanname die door niveau 1 en 2 heen is blijven hangen.</w:t>
      </w:r>
    </w:p>
    <w:p>
      <w:pPr>
        <w:pStyle w:val="ListParagraph"/>
        <w:numPr>
          <w:ilvl w:val="0"/>
          <w:numId w:val="1"/>
        </w:numPr>
        <w:spacing w:after="80"/>
      </w:pPr>
      <w:r>
        <w:rPr>
          <w:rFonts w:ascii="Calibri" w:cs="Calibri" w:eastAsia="Calibri" w:hAnsi="Calibri"/>
          <w:sz w:val="22"/>
          <w:szCs w:val="22"/>
        </w:rPr>
        <w:t xml:space="preserve">2. De WGBL-uitzondering voor de premiestaffel is smal. Zij dekt de actuarieel opgebouwde totale staffel, niet elke leeftijdsafhankelijke keuze eromheen.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 uitvoering naar expertise: wat verandert 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uitleg van de pensioenovereenkomst, opdracht 22.1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eenzijdig wijzigingsbeding, opdracht 22.2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jurisprudentie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OR-instemming: gezichtspunt, geen vrijbrief, opdracht 22.3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WGBL en de driestappentoets, opdracht 22.4 en 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Stresstest voor Van Doorn, opdracht 22.6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Terugkoppeling, opdracht 22.7, 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Leg het verschil in registers uit: niveau 1 en 2 werkten met vaste toetsen en rekenregels; niveau 3 werkt met open normen die per casus worden ingevuld. Waarschuw dat “het hangt af van de omstandigheden” vanaf nu vaker het juiste antwoord is dan een vast percentage — en dat dat geen ontwijking is maar de aard van het rechtsgebied.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Uitleg van de pensioenovereenkomst.</w:t>
      </w:r>
      <w:r>
        <w:rPr>
          <w:rFonts w:ascii="Calibri" w:cs="Calibri" w:eastAsia="Calibri" w:hAnsi="Calibri"/>
          <w:b w:val="false"/>
          <w:bCs w:val="false"/>
          <w:i w:val="false"/>
          <w:iCs w:val="false"/>
          <w:sz w:val="22"/>
          <w:szCs w:val="22"/>
        </w:rPr>
        <w:t xml:space="preserve"> Kort houden. Het punt: een pensioenreglement wordt objectief uitgelegd, in het voordeel van de lezer bij onduidelijkheid — dit legitimeert met terugwerkende kracht de precisie-eisen die in deel 2 al aan reglementsteksten werden gesteld.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eenzijdig wijzigingsbeding.</w:t>
      </w:r>
      <w:r>
        <w:rPr>
          <w:rFonts w:ascii="Calibri" w:cs="Calibri" w:eastAsia="Calibri" w:hAnsi="Calibri"/>
          <w:b w:val="false"/>
          <w:bCs w:val="false"/>
          <w:i w:val="false"/>
          <w:iCs w:val="false"/>
          <w:sz w:val="22"/>
          <w:szCs w:val="22"/>
        </w:rPr>
        <w:t xml:space="preserve"> Dit is stevige stof. Loop de jurisprudentie rustig langs: eerst de twee cumulatieve vereisten, dan de voorbeelden waar het misging (IFF-zaak, marktconformiteit-zaak). Laat zien dat “we willen het nu eenmaal veranderen” stelselmatig wordt afgewezen als zwaarwichtig belang.</w:t>
      </w:r>
    </w:p>
    <w:p>
      <w:pPr>
        <w:spacing w:after="140" w:line="300"/>
      </w:pPr>
      <w:r>
        <w:rPr>
          <w:rFonts w:ascii="Calibri" w:cs="Calibri" w:eastAsia="Calibri" w:hAnsi="Calibri"/>
          <w:b w:val="false"/>
          <w:bCs w:val="false"/>
          <w:i w:val="false"/>
          <w:iCs w:val="false"/>
          <w:sz w:val="22"/>
          <w:szCs w:val="22"/>
        </w:rPr>
        <w:t xml:space="preserve">Bij opdracht 22.2: casus c is de enige waar aan beide vereisten is voldaan — bespreek waarom acute financiële nood wél kan volstaan terwijl een wens tot marktconformiteit dat niet doet. Het onderscheid: is het belang van de werkgever afdwingbaar/onvermijdelijk, of is het een voorkeur?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OR-instemming — kern van het dagdeel.</w:t>
      </w:r>
      <w:r>
        <w:rPr>
          <w:rFonts w:ascii="Calibri" w:cs="Calibri" w:eastAsia="Calibri" w:hAnsi="Calibri"/>
          <w:b w:val="false"/>
          <w:bCs w:val="false"/>
          <w:i w:val="false"/>
          <w:iCs w:val="false"/>
          <w:sz w:val="22"/>
          <w:szCs w:val="22"/>
        </w:rPr>
        <w:t xml:space="preserve"> Neem hier minstens dertig minuten. Dit is de correctie op een aanname die door de hele cursus heen impliciet is blijven staan. Vraag de zaal vooraf: “als de OR volledig instemt, is de werkgever dan veilig?” De meeste deelnemers zullen “ja” zeggen — dat is precies de misvatting die dit onderdeel moet corrigeren.</w:t>
      </w:r>
    </w:p>
    <w:p>
      <w:pPr>
        <w:spacing w:after="140" w:line="300"/>
      </w:pPr>
      <w:r>
        <w:rPr>
          <w:rFonts w:ascii="Calibri" w:cs="Calibri" w:eastAsia="Calibri" w:hAnsi="Calibri"/>
          <w:b w:val="false"/>
          <w:bCs w:val="false"/>
          <w:i w:val="false"/>
          <w:iCs w:val="false"/>
          <w:sz w:val="22"/>
          <w:szCs w:val="22"/>
        </w:rPr>
        <w:t xml:space="preserve">Schrijf de kernzin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OR-instemming is een zwaarwegend gezichtspunt, geen vrijbrief.</w:t>
            </w:r>
          </w:p>
        </w:tc>
      </w:tr>
    </w:tbl>
    <w:p>
      <w:pPr>
        <w:spacing w:after="140" w:line="300"/>
      </w:pPr>
      <w:r>
        <w:rPr>
          <w:rFonts w:ascii="Calibri" w:cs="Calibri" w:eastAsia="Calibri" w:hAnsi="Calibri"/>
          <w:b w:val="false"/>
          <w:bCs w:val="false"/>
          <w:i w:val="false"/>
          <w:iCs w:val="false"/>
          <w:sz w:val="22"/>
          <w:szCs w:val="22"/>
        </w:rPr>
        <w:t xml:space="preserve">Bij opdracht 22.3: laat zien dat Karel, ook na volledige OR-instemming, nog steeds een individuele procedure kan starten — en dat Van Doorn dan nog steeds zelf het zwaarwichtige belang moet bewijzen.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WGBL en de driestappentoets.</w:t>
      </w:r>
      <w:r>
        <w:rPr>
          <w:rFonts w:ascii="Calibri" w:cs="Calibri" w:eastAsia="Calibri" w:hAnsi="Calibri"/>
          <w:b w:val="false"/>
          <w:bCs w:val="false"/>
          <w:i w:val="false"/>
          <w:iCs w:val="false"/>
          <w:sz w:val="22"/>
          <w:szCs w:val="22"/>
        </w:rPr>
        <w:t xml:space="preserve"> Dit is de tweede zware stof van het dagdeel. Bouw het rustig op: eerst de smalle uitzondering voor de actuariële staffel (met het onderscheid tussen de totale staffel en de verdeling ertussen als scherp voorbeeld), dan de algemene driestappentoets.</w:t>
      </w:r>
    </w:p>
    <w:p>
      <w:pPr>
        <w:spacing w:after="140" w:line="300"/>
      </w:pPr>
      <w:r>
        <w:rPr>
          <w:rFonts w:ascii="Calibri" w:cs="Calibri" w:eastAsia="Calibri" w:hAnsi="Calibri"/>
          <w:b w:val="false"/>
          <w:bCs w:val="false"/>
          <w:i w:val="false"/>
          <w:iCs w:val="false"/>
          <w:sz w:val="22"/>
          <w:szCs w:val="22"/>
        </w:rPr>
        <w:t xml:space="preserve">Bij opdracht 22.5: laat de groep de toets zelf hardop doorlopen, stap voor stap, en laat expliciet benoemen wáár het voorstel faalt (op noodzakelijkheid, niet op legitimiteit of geschiktheid). Dit onderscheid — falen op stap 3, niet op stap 1 — is een patroon dat in de jurisprudentie vaker terugkeert dan falen op stap 1 of 2, en dat is een waardevol inzicht voor de praktijk: een doel kan volkomen legitiem zijn en het gekozen middel toch sneuvelen.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Stresstest voor Van Doorn.</w:t>
      </w:r>
      <w:r>
        <w:rPr>
          <w:rFonts w:ascii="Calibri" w:cs="Calibri" w:eastAsia="Calibri" w:hAnsi="Calibri"/>
          <w:b w:val="false"/>
          <w:bCs w:val="false"/>
          <w:i w:val="false"/>
          <w:iCs w:val="false"/>
          <w:sz w:val="22"/>
          <w:szCs w:val="22"/>
        </w:rPr>
        <w:t xml:space="preserve"> Laat dit individueel schrijven als voorbereiding op deel 23 — niet uitgebreid bespreken, want de volledige uitwerking volgt daar. Wel kort peilen: welk soort argument (wettelijk gegeven versus eigen bedrijfsvoorkeur) hebben deelnemers gekozen, en waarom is dat onderscheid relevant?</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er een vaste lijst van wat wél en niet als zwaarwichtig belang geldt?”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dit is bewust een open norm die per geval wordt ingevuld aan de hand van alle omstandigheden. Vuistregels (financiële nood telt vaak mee, een voorkeur voor marktconformiteit meestal niet) bestaan wel, maar zijn geen garanties.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het pensioenreglement een wijzigingsbeding bevat, maar de arbeidsovereenkomst niet?”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Uit de jurisprudentie blijkt dat een wijzigingsbeding in het pensioenreglement zelf kan volstaan als grondslag — de exacte verhouding tussen een beding in de arbeidsovereenkomst en een beding in het reglement kan echter juridisch genuanceerd liggen; verwijs bij een concreet geval naar gespecialiseerd arbeidsrechtelijk advies.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de WGBL-uitzondering ook worden ingeroepen voor de eerbiedigende werking zelf?”</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is precies de vraag van deel 23 — hier wordt het antwoord bewust nog even opengelaten om de spanning voor het volgende deel op te bouwen.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kernzin over OR-instemming groot op de flap</w:t>
      </w:r>
    </w:p>
    <w:p>
      <w:pPr>
        <w:pStyle w:val="ListParagraph"/>
        <w:numPr>
          <w:ilvl w:val="0"/>
          <w:numId w:val="1"/>
        </w:numPr>
        <w:spacing w:after="80"/>
      </w:pPr>
      <w:r>
        <w:rPr>
          <w:rFonts w:ascii="Calibri" w:cs="Calibri" w:eastAsia="Calibri" w:hAnsi="Calibri"/>
          <w:sz w:val="22"/>
          <w:szCs w:val="22"/>
        </w:rPr>
        <w:t xml:space="preserve">Kopieën van de kernoverwegingen uit de aangehaalde uitspraken, voor wie de brontekst wil zien</w:t>
      </w:r>
    </w:p>
    <w:p>
      <w:pPr>
        <w:pStyle w:val="ListParagraph"/>
        <w:numPr>
          <w:ilvl w:val="0"/>
          <w:numId w:val="1"/>
        </w:numPr>
        <w:spacing w:after="80"/>
      </w:pPr>
      <w:r>
        <w:rPr>
          <w:rFonts w:ascii="Calibri" w:cs="Calibri" w:eastAsia="Calibri" w:hAnsi="Calibri"/>
          <w:sz w:val="22"/>
          <w:szCs w:val="22"/>
        </w:rPr>
        <w:t xml:space="preserve">De driestappentoets als vast stroomschema, vergelijkbaar met de andere cursusinstrumenten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22.6 en 22.7 afronden. Kondig deel 23 aan: de eerbiedigende werking zelf blijkt leeftijdsdiscriminatie op te leveren — en de wetgever heeft daar zelf een rechtvaardiging voor aangedragen, die in het volgende deel volledig wordt uitgewerkt.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2026-08-17T11:22:45.795Z</dcterms:created>
  <dcterms:modified xsi:type="dcterms:W3CDTF">2026-08-17T11:22:45.795Z</dcterms:modified>
</cp:coreProperties>
</file>

<file path=docProps/custom.xml><?xml version="1.0" encoding="utf-8"?>
<Properties xmlns="http://schemas.openxmlformats.org/officeDocument/2006/custom-properties" xmlns:vt="http://schemas.openxmlformats.org/officeDocument/2006/docPropsVTypes"/>
</file>