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22 — Pensioenrecht gevorderd</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22 — Pensioenrecht gevorderd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22.1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uitleg van een pensioenovereenkomst methodisch aanpakken;</w:t>
      </w:r>
    </w:p>
    <w:p>
      <w:pPr>
        <w:pStyle w:val="ListParagraph"/>
        <w:numPr>
          <w:ilvl w:val="0"/>
          <w:numId w:val="1"/>
        </w:numPr>
        <w:spacing w:after="80"/>
      </w:pPr>
      <w:r>
        <w:rPr>
          <w:rFonts w:ascii="Calibri" w:cs="Calibri" w:eastAsia="Calibri" w:hAnsi="Calibri"/>
          <w:sz w:val="22"/>
          <w:szCs w:val="22"/>
        </w:rPr>
        <w:t xml:space="preserve">2. het toetsingskader van het eenzijdig wijzigingsbeding (artikel 19 Pensioenwet / artikel 7:613 BW) volledig toepassen;</w:t>
      </w:r>
    </w:p>
    <w:p>
      <w:pPr>
        <w:pStyle w:val="ListParagraph"/>
        <w:numPr>
          <w:ilvl w:val="0"/>
          <w:numId w:val="1"/>
        </w:numPr>
        <w:spacing w:after="80"/>
      </w:pPr>
      <w:r>
        <w:rPr>
          <w:rFonts w:ascii="Calibri" w:cs="Calibri" w:eastAsia="Calibri" w:hAnsi="Calibri"/>
          <w:sz w:val="22"/>
          <w:szCs w:val="22"/>
        </w:rPr>
        <w:t xml:space="preserve">3. de rol van OR-instemming bij een eenzijdige wijziging correct wegen — belangrijk gezichtspunt, geen vrijbrief;</w:t>
      </w:r>
    </w:p>
    <w:p>
      <w:pPr>
        <w:pStyle w:val="ListParagraph"/>
        <w:numPr>
          <w:ilvl w:val="0"/>
          <w:numId w:val="1"/>
        </w:numPr>
        <w:spacing w:after="80"/>
      </w:pPr>
      <w:r>
        <w:rPr>
          <w:rFonts w:ascii="Calibri" w:cs="Calibri" w:eastAsia="Calibri" w:hAnsi="Calibri"/>
          <w:sz w:val="22"/>
          <w:szCs w:val="22"/>
        </w:rPr>
        <w:t xml:space="preserve">4. het onderscheid tussen directe en indirecte leeftijdsdiscriminatie op een pensioenregeling toepassen;</w:t>
      </w:r>
    </w:p>
    <w:p>
      <w:pPr>
        <w:pStyle w:val="ListParagraph"/>
        <w:numPr>
          <w:ilvl w:val="0"/>
          <w:numId w:val="1"/>
        </w:numPr>
        <w:spacing w:after="80"/>
      </w:pPr>
      <w:r>
        <w:rPr>
          <w:rFonts w:ascii="Calibri" w:cs="Calibri" w:eastAsia="Calibri" w:hAnsi="Calibri"/>
          <w:sz w:val="22"/>
          <w:szCs w:val="22"/>
        </w:rPr>
        <w:t xml:space="preserve">5. de objectieve-rechtvaardigingstoets (legitiem doel, passend en noodzakelijk middel) zelfstandig uitvoeren;</w:t>
      </w:r>
    </w:p>
    <w:p>
      <w:pPr>
        <w:pStyle w:val="ListParagraph"/>
        <w:numPr>
          <w:ilvl w:val="0"/>
          <w:numId w:val="1"/>
        </w:numPr>
        <w:spacing w:after="80"/>
      </w:pPr>
      <w:r>
        <w:rPr>
          <w:rFonts w:ascii="Calibri" w:cs="Calibri" w:eastAsia="Calibri" w:hAnsi="Calibri"/>
          <w:sz w:val="22"/>
          <w:szCs w:val="22"/>
        </w:rPr>
        <w:t xml:space="preserve">6. een wijzigingsvoorstel voor Van Doorn Techniek juridisch stresstesten vóór het aan de OR wordt voorgelegd.</w:t>
      </w:r>
    </w:p>
    <w:p>
      <w:pPr>
        <w:spacing w:after="100"/>
      </w:pPr>
    </w:p>
    <w:p>
      <w:pPr>
        <w:pStyle w:val="Heading2"/>
        <w:spacing w:after="120" w:before="200"/>
      </w:pPr>
      <w:r>
        <w:rPr>
          <w:rFonts w:ascii="Georgia" w:cs="Georgia" w:eastAsia="Georgia" w:hAnsi="Georgia"/>
          <w:b/>
          <w:bCs/>
          <w:color w:val="2563A8"/>
          <w:sz w:val="28"/>
          <w:szCs w:val="28"/>
        </w:rPr>
        <w:t xml:space="preserve">22.2 Waarom niveau 3 hier begint</w:t>
      </w:r>
    </w:p>
    <w:p>
      <w:pPr>
        <w:spacing w:after="140" w:line="300"/>
      </w:pPr>
      <w:r>
        <w:rPr>
          <w:rFonts w:ascii="Calibri" w:cs="Calibri" w:eastAsia="Calibri" w:hAnsi="Calibri"/>
          <w:b w:val="false"/>
          <w:bCs w:val="false"/>
          <w:i w:val="false"/>
          <w:iCs w:val="false"/>
          <w:sz w:val="22"/>
          <w:szCs w:val="22"/>
        </w:rPr>
        <w:t xml:space="preserve">Niveau 1 en 2 behandelden het pensioenrecht functioneel: wat moet er gebeuren, in welke volgorde, met welke documenten. Niveau 3 gaat een laag dieper: wat gebeurt er als de juridische basis van een keuze zelf wordt betwist? Dit deel behandelt drie fundamenten die door de hele cursus impliciet aanwezig waren en nu expliciet worden: interpretatie, wijzigingsbevoegdheid, en gelijke behandeling.</w:t>
      </w:r>
    </w:p>
    <w:p>
      <w:pPr>
        <w:spacing w:after="100"/>
      </w:pPr>
    </w:p>
    <w:p>
      <w:pPr>
        <w:pStyle w:val="Heading2"/>
        <w:spacing w:after="120" w:before="200"/>
      </w:pPr>
      <w:r>
        <w:rPr>
          <w:rFonts w:ascii="Georgia" w:cs="Georgia" w:eastAsia="Georgia" w:hAnsi="Georgia"/>
          <w:b/>
          <w:bCs/>
          <w:color w:val="2563A8"/>
          <w:sz w:val="28"/>
          <w:szCs w:val="28"/>
        </w:rPr>
        <w:t xml:space="preserve">22.3 De uitleg van de pensioenovereenkomst</w:t>
      </w:r>
    </w:p>
    <w:p>
      <w:pPr>
        <w:spacing w:after="140" w:line="300"/>
      </w:pPr>
      <w:r>
        <w:rPr>
          <w:rFonts w:ascii="Calibri" w:cs="Calibri" w:eastAsia="Calibri" w:hAnsi="Calibri"/>
          <w:b w:val="false"/>
          <w:bCs w:val="false"/>
          <w:i w:val="false"/>
          <w:iCs w:val="false"/>
          <w:sz w:val="22"/>
          <w:szCs w:val="22"/>
        </w:rPr>
        <w:t xml:space="preserve">Wanneer de tekst van een pensioenovereenkomst of -reglement onduidelijk is, moet zij worden uitgelegd. Twee uitlegmethoden zijn relevant, afhankelijk van het karakter van de bepaling: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Haviltex-norm</w:t>
      </w:r>
      <w:r>
        <w:rPr>
          <w:rFonts w:ascii="Calibri" w:cs="Calibri" w:eastAsia="Calibri" w:hAnsi="Calibri"/>
          <w:b w:val="false"/>
          <w:bCs w:val="false"/>
          <w:i w:val="false"/>
          <w:iCs w:val="false"/>
          <w:sz w:val="22"/>
          <w:szCs w:val="22"/>
        </w:rPr>
        <w:t xml:space="preserve"> — voor individueel onderhandelde bepalingen: wat mochten partijen, gelet op de bewoordingen en de omstandigheden, redelijkerwijs van elkaar verwachten?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CAO-norm</w:t>
      </w:r>
      <w:r>
        <w:rPr>
          <w:rFonts w:ascii="Calibri" w:cs="Calibri" w:eastAsia="Calibri" w:hAnsi="Calibri"/>
          <w:b w:val="false"/>
          <w:bCs w:val="false"/>
          <w:i w:val="false"/>
          <w:iCs w:val="false"/>
          <w:sz w:val="22"/>
          <w:szCs w:val="22"/>
        </w:rPr>
        <w:t xml:space="preserve"> — voor bepalingen die voor een grotere, niet bij de totstandkoming betrokken groep gelden (zoals een pensioenreglement of een cao-bepaling): een meer objectieve, taalkundige uitleg, gebaseerd op de bewoordingen gelezen in het licht van de gehele tekst, omdat individuele bedoelingen van de opstellers voor een buitenstaander (de deelnemer) niet kenbaar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ertoe doet.</w:t>
      </w:r>
      <w:r>
        <w:rPr>
          <w:rFonts w:ascii="Calibri" w:cs="Calibri" w:eastAsia="Calibri" w:hAnsi="Calibri"/>
          <w:b w:val="false"/>
          <w:bCs w:val="false"/>
          <w:i w:val="false"/>
          <w:iCs w:val="false"/>
          <w:sz w:val="22"/>
          <w:szCs w:val="22"/>
        </w:rPr>
        <w:t xml:space="preserve"> Een pensioenreglement wordt uitgelegd volgens de CAO-norm: de deelnemer die het reglement leest, mag afgaan op de tekst zoals die redelijkerwijs moet worden begrepen, niet op een bedoeling die nergens uit blijkt. Dit is precies waarom precisie in reglementsteksten (deel 2) geen taalkundige verfijning is maar een juridische noodzaak — een onduidelijke formulering wordt uitgelegd in het voordeel van de lezer, niet van de opsteller.</w:t>
      </w:r>
    </w:p>
    <w:p>
      <w:pPr>
        <w:spacing w:after="100"/>
      </w:pPr>
    </w:p>
    <w:p>
      <w:pPr>
        <w:pStyle w:val="Heading2"/>
        <w:spacing w:after="120" w:before="200"/>
      </w:pPr>
      <w:r>
        <w:rPr>
          <w:rFonts w:ascii="Georgia" w:cs="Georgia" w:eastAsia="Georgia" w:hAnsi="Georgia"/>
          <w:b/>
          <w:bCs/>
          <w:color w:val="2563A8"/>
          <w:sz w:val="28"/>
          <w:szCs w:val="28"/>
        </w:rPr>
        <w:t xml:space="preserve">22.4 Het eenzijdig wijzigingsbeding</w:t>
      </w:r>
    </w:p>
    <w:p>
      <w:pPr>
        <w:spacing w:after="140" w:line="300"/>
      </w:pPr>
      <w:r>
        <w:rPr>
          <w:rFonts w:ascii="Calibri" w:cs="Calibri" w:eastAsia="Calibri" w:hAnsi="Calibri"/>
          <w:b w:val="false"/>
          <w:bCs w:val="false"/>
          <w:i w:val="false"/>
          <w:iCs w:val="false"/>
          <w:sz w:val="22"/>
          <w:szCs w:val="22"/>
        </w:rPr>
        <w:t xml:space="preserve">Terugkijkend naar deel 2: een wijziging van de pensioenovereenkomst begint arbeidsvoorwaardelijk en vraagt in beginsel instemming — van de OR (collectief) en, afhankelijk van de situatie, van de individuele werknemer. Dit deel behandelt de uitzondering: wanneer kan een werkgever een pensioenregeling </w:t>
      </w:r>
      <w:r>
        <w:rPr>
          <w:rFonts w:ascii="Calibri" w:cs="Calibri" w:eastAsia="Calibri" w:hAnsi="Calibri"/>
          <w:b/>
          <w:bCs/>
          <w:i w:val="false"/>
          <w:iCs w:val="false"/>
          <w:sz w:val="22"/>
          <w:szCs w:val="22"/>
        </w:rPr>
        <w:t xml:space="preserve">eenzijdig</w:t>
      </w:r>
      <w:r>
        <w:rPr>
          <w:rFonts w:ascii="Calibri" w:cs="Calibri" w:eastAsia="Calibri" w:hAnsi="Calibri"/>
          <w:b w:val="false"/>
          <w:bCs w:val="false"/>
          <w:i w:val="false"/>
          <w:iCs w:val="false"/>
          <w:sz w:val="22"/>
          <w:szCs w:val="22"/>
        </w:rPr>
        <w:t xml:space="preserve"> wijzigen, zonder individuele instemming?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wettelijke basis.</w:t>
      </w:r>
      <w:r>
        <w:rPr>
          <w:rFonts w:ascii="Calibri" w:cs="Calibri" w:eastAsia="Calibri" w:hAnsi="Calibri"/>
          <w:b w:val="false"/>
          <w:bCs w:val="false"/>
          <w:i w:val="false"/>
          <w:iCs w:val="false"/>
          <w:sz w:val="22"/>
          <w:szCs w:val="22"/>
        </w:rPr>
        <w:t xml:space="preserve"> &lt;cite index=“134-1”&gt;Een werkgever kan zich alleen beroepen op een schriftelijk beding dat hem de bevoegdheid geeft een arbeidsvoorwaarde te wijzigen, als hij bij die wijziging een zodanig zwaarwichtig belang heeft dat het belang van de werknemer dat erdoor wordt geschaad, naar maatstaven van redelijkheid en billijkheid moet wijken — artikel 7:613 BW.&lt;/cite&gt; &lt;cite index=“138-1”&gt;Artikel 19 Pensioenwet is door de wetgever bewust op deze bepaling geënt en kent een gelijkluidende maatstaf.&lt;/cite&gt;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Twee vereisten, cumulatief:</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Er moet een wijzigingsbeding zijn opgenomen — in de arbeidsovereenkomst, of, blijkens vaste rechtspraak, ook in het pensioenreglement zelf.</w:t>
      </w:r>
    </w:p>
    <w:p>
      <w:pPr>
        <w:pStyle w:val="ListParagraph"/>
        <w:numPr>
          <w:ilvl w:val="0"/>
          <w:numId w:val="1"/>
        </w:numPr>
        <w:spacing w:after="80"/>
      </w:pPr>
      <w:r>
        <w:rPr>
          <w:rFonts w:ascii="Calibri" w:cs="Calibri" w:eastAsia="Calibri" w:hAnsi="Calibri"/>
          <w:sz w:val="22"/>
          <w:szCs w:val="22"/>
        </w:rPr>
        <w:t xml:space="preserve">2. De werkgever moet een zwaarwichtig belang hebben dat, afgewogen tegen het belang van de werknemer, naar maatstaven van redelijkheid en billijkheid de doorslag geeft.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Dit is geen lichte toets.</w:t>
      </w:r>
      <w:r>
        <w:rPr>
          <w:rFonts w:ascii="Calibri" w:cs="Calibri" w:eastAsia="Calibri" w:hAnsi="Calibri"/>
          <w:b w:val="false"/>
          <w:bCs w:val="false"/>
          <w:i w:val="false"/>
          <w:iCs w:val="false"/>
          <w:sz w:val="22"/>
          <w:szCs w:val="22"/>
        </w:rPr>
        <w:t xml:space="preserve"> &lt;cite index=“137-1”&gt;De Hoge Raad heeft geoordeeld dat het gaat om een belangenafweging: het belang van de werkgever moet, ten opzichte van het belang van de werknemer bij ongewijzigde instandhouding, zodanig zwaarwichtig zijn dat het belang van de werknemer op gronden van redelijkheid en billijkheid moet wijken.&lt;/cite&gt;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telt niet vanzelfsprekend als zwaarwichtig.</w:t>
      </w:r>
      <w:r>
        <w:rPr>
          <w:rFonts w:ascii="Calibri" w:cs="Calibri" w:eastAsia="Calibri" w:hAnsi="Calibri"/>
          <w:b w:val="false"/>
          <w:bCs w:val="false"/>
          <w:i w:val="false"/>
          <w:iCs w:val="false"/>
          <w:sz w:val="22"/>
          <w:szCs w:val="22"/>
        </w:rPr>
        <w:t xml:space="preserve"> &lt;cite index=“133-1”&gt;In een concrete zaak oordeelde de kantonrechter dat de wens tot een “marktconforme regeling” en harmonisatie van arbeidsvoorwaarden niet als zodanig zwaarwegend konden worden gekwalificeerd&lt;/cite&gt; dat het individuele belang van de werknemers moest wijken. &lt;cite index=“131-1”&gt;In een andere zaak, over de introductie van een werknemerspremie voor een groep die voorheen geen premie betaalde, oordeelde de kantonrechter eveneens dat de werkgever geen zwaarwegend belang had.&lt;/cite&gt;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wél kan meewegen.</w:t>
      </w:r>
      <w:r>
        <w:rPr>
          <w:rFonts w:ascii="Calibri" w:cs="Calibri" w:eastAsia="Calibri" w:hAnsi="Calibri"/>
          <w:b w:val="false"/>
          <w:bCs w:val="false"/>
          <w:i w:val="false"/>
          <w:iCs w:val="false"/>
          <w:sz w:val="22"/>
          <w:szCs w:val="22"/>
        </w:rPr>
        <w:t xml:space="preserve"> &lt;cite index=“138-1”&gt;Grote financiële problemen van de werkgever worden in het algemeen aangenomen als een omstandigheid die op een zwaarwichtig belang kan duiden&lt;/cite&gt; — maar dit is een vuistregel, geen garantie; elke zaak wordt op haar eigen feiten beoordeeld.</w:t>
      </w:r>
    </w:p>
    <w:p>
      <w:pPr>
        <w:spacing w:after="100"/>
      </w:pPr>
    </w:p>
    <w:p>
      <w:pPr>
        <w:pStyle w:val="Heading2"/>
        <w:spacing w:after="120" w:before="200"/>
      </w:pPr>
      <w:r>
        <w:rPr>
          <w:rFonts w:ascii="Georgia" w:cs="Georgia" w:eastAsia="Georgia" w:hAnsi="Georgia"/>
          <w:b/>
          <w:bCs/>
          <w:color w:val="2563A8"/>
          <w:sz w:val="28"/>
          <w:szCs w:val="28"/>
        </w:rPr>
        <w:t xml:space="preserve">22.5 De rol van OR-instemming: belangrijk, niet beslissend</w:t>
      </w:r>
    </w:p>
    <w:p>
      <w:pPr>
        <w:spacing w:after="140" w:line="300"/>
      </w:pPr>
      <w:r>
        <w:rPr>
          <w:rFonts w:ascii="Calibri" w:cs="Calibri" w:eastAsia="Calibri" w:hAnsi="Calibri"/>
          <w:b w:val="false"/>
          <w:bCs w:val="false"/>
          <w:i w:val="false"/>
          <w:iCs w:val="false"/>
          <w:sz w:val="22"/>
          <w:szCs w:val="22"/>
        </w:rPr>
        <w:t xml:space="preserve">Een veelvoorkomend misverstand: dat instemming van de OR de wijziging automatisch rechtvaardigt. Dat is onjuist.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OR-instemming wél doet.</w:t>
      </w:r>
      <w:r>
        <w:rPr>
          <w:rFonts w:ascii="Calibri" w:cs="Calibri" w:eastAsia="Calibri" w:hAnsi="Calibri"/>
          <w:b w:val="false"/>
          <w:bCs w:val="false"/>
          <w:i w:val="false"/>
          <w:iCs w:val="false"/>
          <w:sz w:val="22"/>
          <w:szCs w:val="22"/>
        </w:rPr>
        <w:t xml:space="preserve"> &lt;cite index=“133-1”&gt;Instemming van de ondernemingsraad vormt een zwaarwegend gezichtspunt bij de beoordeling van de redelijkheid van de wijziging.&lt;/cite&gt; &lt;cite index=“135-1”&gt;Als de OR heeft ingestemd met het verzoek van de werkgever tot wijziging, zal het zwaarwichtige belang van de werkgever vaak worden aangenomen.&lt;/cite&gt;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het niet doet.</w:t>
      </w:r>
      <w:r>
        <w:rPr>
          <w:rFonts w:ascii="Calibri" w:cs="Calibri" w:eastAsia="Calibri" w:hAnsi="Calibri"/>
          <w:b w:val="false"/>
          <w:bCs w:val="false"/>
          <w:i w:val="false"/>
          <w:iCs w:val="false"/>
          <w:sz w:val="22"/>
          <w:szCs w:val="22"/>
        </w:rPr>
        <w:t xml:space="preserve"> &lt;cite index=“133-1”&gt;Dat neemt niet weg dat de bewijslast op de werkgever blijft rusten dat zijn belang zo zwaarwichtig is dat het belang van de individuele werknemer daarvoor moet wijken.&lt;/cite&gt; &lt;cite index=“136-1”&gt;Een individuele werknemer kan zich blijven verzetten tegen een wijziging van zijn pensioen, ook als de OR en de vakbonden ermee hebben ingestemd&lt;/cite&gt; — instemming van collectieve organen sluit een individueel beroep op onvoldoende zwaarwichtig belang dus niet uit.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koppeling met deel 2.</w:t>
      </w:r>
      <w:r>
        <w:rPr>
          <w:rFonts w:ascii="Calibri" w:cs="Calibri" w:eastAsia="Calibri" w:hAnsi="Calibri"/>
          <w:b w:val="false"/>
          <w:bCs w:val="false"/>
          <w:i w:val="false"/>
          <w:iCs w:val="false"/>
          <w:sz w:val="22"/>
          <w:szCs w:val="22"/>
        </w:rPr>
        <w:t xml:space="preserve"> Dit nuanceert de “e-mailfout van Ferdi” uit deel 2: instemming van de OR is noodzakelijk maar niet automatisch voldoende. Zelfs een zorgvuldig OR-traject vrijwaart een werkgever niet volledig van individuele weerstand — het verkleint het risico aanzienlijk, maar elimineert het niet.</w:t>
      </w:r>
    </w:p>
    <w:p>
      <w:pPr>
        <w:spacing w:after="100"/>
      </w:pPr>
    </w:p>
    <w:p>
      <w:pPr>
        <w:pStyle w:val="Heading2"/>
        <w:spacing w:after="120" w:before="200"/>
      </w:pPr>
      <w:r>
        <w:rPr>
          <w:rFonts w:ascii="Georgia" w:cs="Georgia" w:eastAsia="Georgia" w:hAnsi="Georgia"/>
          <w:b/>
          <w:bCs/>
          <w:color w:val="2563A8"/>
          <w:sz w:val="28"/>
          <w:szCs w:val="28"/>
        </w:rPr>
        <w:t xml:space="preserve">22.6 Gelijke behandeling: de WGBL</w:t>
      </w:r>
    </w:p>
    <w:p>
      <w:pPr>
        <w:spacing w:after="140" w:line="300"/>
      </w:pPr>
      <w:r>
        <w:rPr>
          <w:rFonts w:ascii="Calibri" w:cs="Calibri" w:eastAsia="Calibri" w:hAnsi="Calibri"/>
          <w:b w:val="false"/>
          <w:bCs w:val="false"/>
          <w:i w:val="false"/>
          <w:iCs w:val="false"/>
          <w:sz w:val="22"/>
          <w:szCs w:val="22"/>
        </w:rPr>
        <w:t xml:space="preserve">De Wet gelijke behandeling op grond van leeftijd bij de arbeid (WGBL) verbiedt leeftijdsonderscheid bij arbeidsvoorwaarden, waaronder pensioen — tenzij daarvoor een objectieve rechtvaardiging bestaat.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progressieve staffel: uitgezonderd, maar niet onvoorwaardelijk.</w:t>
      </w:r>
      <w:r>
        <w:rPr>
          <w:rFonts w:ascii="Calibri" w:cs="Calibri" w:eastAsia="Calibri" w:hAnsi="Calibri"/>
          <w:b w:val="false"/>
          <w:bCs w:val="false"/>
          <w:i w:val="false"/>
          <w:iCs w:val="false"/>
          <w:sz w:val="22"/>
          <w:szCs w:val="22"/>
        </w:rPr>
        <w:t xml:space="preserve"> &lt;cite index=“123-1”&gt;De totale, van het fiscale Staffelbesluit afgeleide premiestaffel valt onder een wettelijke uitzondering van de WGBL&lt;/cite&gt; — de wetgever heeft de leeftijdsafhankelijke opbouwlogica zelf als uitgangspunt genomen. &lt;cite index=“127-1”&gt;Maar deze uitzondering ziet specifiek op de totale premiestaffel; een verdeling van die premie tussen werkgevers- en werknemersbijdrage die zelf niet actuarieel is opgebouwd, valt er niet onder&lt;/cite&gt; en moet zelfstandig objectief worden gerechtvaardigd.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objectieve-rechtvaardigingstoets.</w:t>
      </w:r>
      <w:r>
        <w:rPr>
          <w:rFonts w:ascii="Calibri" w:cs="Calibri" w:eastAsia="Calibri" w:hAnsi="Calibri"/>
          <w:b w:val="false"/>
          <w:bCs w:val="false"/>
          <w:i w:val="false"/>
          <w:iCs w:val="false"/>
          <w:sz w:val="22"/>
          <w:szCs w:val="22"/>
        </w:rPr>
        <w:t xml:space="preserve"> &lt;cite index=“130-1”&gt;Onderscheid op grond van leeftijd is niet verboden wanneer het wordt gerechtvaardigd door een legitiem doel, en de middelen om dat doel te bereiken passend en noodzakelijk zijn.&lt;/cite&gt; Drie stappen:</w:t>
      </w:r>
    </w:p>
    <w:p>
      <w:pPr>
        <w:pStyle w:val="ListParagraph"/>
        <w:numPr>
          <w:ilvl w:val="0"/>
          <w:numId w:val="1"/>
        </w:numPr>
        <w:spacing w:after="80"/>
      </w:pPr>
      <w:r>
        <w:rPr>
          <w:rFonts w:ascii="Calibri" w:cs="Calibri" w:eastAsia="Calibri" w:hAnsi="Calibri"/>
          <w:sz w:val="22"/>
          <w:szCs w:val="22"/>
        </w:rPr>
        <w:t xml:space="preserve">1. Legitiem doel — is het nagestreefde doel op zichzelf toelaatbaar?</w:t>
      </w:r>
    </w:p>
    <w:p>
      <w:pPr>
        <w:pStyle w:val="ListParagraph"/>
        <w:numPr>
          <w:ilvl w:val="0"/>
          <w:numId w:val="1"/>
        </w:numPr>
        <w:spacing w:after="80"/>
      </w:pPr>
      <w:r>
        <w:rPr>
          <w:rFonts w:ascii="Calibri" w:cs="Calibri" w:eastAsia="Calibri" w:hAnsi="Calibri"/>
          <w:sz w:val="22"/>
          <w:szCs w:val="22"/>
        </w:rPr>
        <w:t xml:space="preserve">2. Passend middel — draagt de gekozen maatregel daadwerkelijk bij aan dat doel?</w:t>
      </w:r>
    </w:p>
    <w:p>
      <w:pPr>
        <w:pStyle w:val="ListParagraph"/>
        <w:numPr>
          <w:ilvl w:val="0"/>
          <w:numId w:val="1"/>
        </w:numPr>
        <w:spacing w:after="80"/>
      </w:pPr>
      <w:r>
        <w:rPr>
          <w:rFonts w:ascii="Calibri" w:cs="Calibri" w:eastAsia="Calibri" w:hAnsi="Calibri"/>
          <w:sz w:val="22"/>
          <w:szCs w:val="22"/>
        </w:rPr>
        <w:t xml:space="preserve">3. Noodzakelijk middel — is er geen minder vergaand alternatief dat hetzelfde doel bereikt?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Een voorbeeld waar de toets faalde.</w:t>
      </w:r>
      <w:r>
        <w:rPr>
          <w:rFonts w:ascii="Calibri" w:cs="Calibri" w:eastAsia="Calibri" w:hAnsi="Calibri"/>
          <w:b w:val="false"/>
          <w:bCs w:val="false"/>
          <w:i w:val="false"/>
          <w:iCs w:val="false"/>
          <w:sz w:val="22"/>
          <w:szCs w:val="22"/>
        </w:rPr>
        <w:t xml:space="preserve"> &lt;cite index=“127-1”&gt;Een werkgever voerde als doel aan: meer aansluiten bij de regeling van de Amerikaanse moedermaatschappij, en meer evenwicht tussen jongere en oudere werknemers. De Commissie Gelijke Behandeling (voorloper van het huidige College) oordeelde dat deze doelen ook bereikt konden worden met een regeling zonder leeftijdsonderscheid — bijvoorbeeld een werknemersbijdrage met een voor alle leeftijden gelijk percentage — en dat het onderscheid dus niet noodzakelijk was.&lt;/cite&gt; De regeling sneuvelde op stap 3.</w:t>
      </w:r>
    </w:p>
    <w:p>
      <w:pPr>
        <w:spacing w:after="100"/>
      </w:pPr>
    </w:p>
    <w:p>
      <w:pPr>
        <w:pStyle w:val="Heading2"/>
        <w:spacing w:after="120" w:before="200"/>
      </w:pPr>
      <w:r>
        <w:rPr>
          <w:rFonts w:ascii="Georgia" w:cs="Georgia" w:eastAsia="Georgia" w:hAnsi="Georgia"/>
          <w:b/>
          <w:bCs/>
          <w:color w:val="2563A8"/>
          <w:sz w:val="28"/>
          <w:szCs w:val="28"/>
        </w:rPr>
        <w:t xml:space="preserve">22.7 Toepassing op Van Doorn: stresstest van een wijzigingsvoorstel</w:t>
      </w:r>
    </w:p>
    <w:p>
      <w:pPr>
        <w:spacing w:after="140" w:line="300"/>
      </w:pPr>
      <w:r>
        <w:rPr>
          <w:rFonts w:ascii="Calibri" w:cs="Calibri" w:eastAsia="Calibri" w:hAnsi="Calibri"/>
          <w:b w:val="false"/>
          <w:bCs w:val="false"/>
          <w:i w:val="false"/>
          <w:iCs w:val="false"/>
          <w:sz w:val="22"/>
          <w:szCs w:val="22"/>
        </w:rPr>
        <w:t xml:space="preserve">Voordat Joost Meiland het definitieve advies voor Van Doorn (deel 15 en 21) bij de OR neerlegt, loopt hij het wijzigingsdeel na langs beide toetsen uit dit 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Toets 1 — het eenzijdig wijzigingsbeding.</w:t>
      </w:r>
      <w:r>
        <w:rPr>
          <w:rFonts w:ascii="Calibri" w:cs="Calibri" w:eastAsia="Calibri" w:hAnsi="Calibri"/>
          <w:b w:val="false"/>
          <w:bCs w:val="false"/>
          <w:i w:val="false"/>
          <w:iCs w:val="false"/>
          <w:sz w:val="22"/>
          <w:szCs w:val="22"/>
        </w:rPr>
        <w:t xml:space="preserve"> Is er een wijzigingsbeding in de arbeidsovereenkomst of het reglement van Van Doorn opgenomen? Zo ja: is Van Doorns belang (voorspelbare kosten, aansluiting bij de wettelijke uiterste datum) zwaarwichtig genoeg om, afgewogen tegen het belang van bijvoorbeeld Karel bij voortzetting van zijn staffel, de doorslag te geven? Gelet op de rechtspraak in paragraaf 22.4 is “we willen het gewoon veranderen omdat de wet dat vraagt” onvoldoende — Joost moet het zwaarwichtige belang concreet onderbouwen, bijvoorbeeld met de fiscale en operationele noodzaak uit deel 5 en 15.</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Toets 2 — gelijke behandeling.</w:t>
      </w:r>
      <w:r>
        <w:rPr>
          <w:rFonts w:ascii="Calibri" w:cs="Calibri" w:eastAsia="Calibri" w:hAnsi="Calibri"/>
          <w:b w:val="false"/>
          <w:bCs w:val="false"/>
          <w:i w:val="false"/>
          <w:iCs w:val="false"/>
          <w:sz w:val="22"/>
          <w:szCs w:val="22"/>
        </w:rPr>
        <w:t xml:space="preserve"> Zowel de keuze vóór als de keuze tégen eerbiedigende werking (deel 6) raakt leeftijdsonderscheid. Dit wordt in het volgende deel (23) volledig uitgewerkt, maar het uitgangspunt staat hier al: </w:t>
      </w:r>
      <w:r>
        <w:rPr>
          <w:rFonts w:ascii="Calibri" w:cs="Calibri" w:eastAsia="Calibri" w:hAnsi="Calibri"/>
          <w:b/>
          <w:bCs/>
          <w:i w:val="false"/>
          <w:iCs w:val="false"/>
          <w:sz w:val="22"/>
          <w:szCs w:val="22"/>
        </w:rPr>
        <w:t xml:space="preserve">geen enkele route rond de progressieve staffel is automatisch gelijkebehandelingsproof.</w:t>
      </w:r>
      <w:r>
        <w:rPr>
          <w:rFonts w:ascii="Calibri" w:cs="Calibri" w:eastAsia="Calibri" w:hAnsi="Calibri"/>
          <w:b w:val="false"/>
          <w:bCs w:val="false"/>
          <w:i w:val="false"/>
          <w:iCs w:val="false"/>
          <w:sz w:val="22"/>
          <w:szCs w:val="22"/>
        </w:rPr>
        <w:t xml:space="preserve"> Zowel doorgaan met de staffel voor een gesloten groep als overstappen naar een vlakke premie met leeftijdsafhankelijke compensatie bevat elementen van leeftijdsonderscheid die apart moeten worden gerechtvaardigd.</w:t>
      </w:r>
    </w:p>
    <w:p>
      <w:pPr>
        <w:spacing w:after="100"/>
      </w:pPr>
    </w:p>
    <w:p>
      <w:pPr>
        <w:pStyle w:val="Heading2"/>
        <w:spacing w:after="120" w:before="200"/>
      </w:pPr>
      <w:r>
        <w:rPr>
          <w:rFonts w:ascii="Georgia" w:cs="Georgia" w:eastAsia="Georgia" w:hAnsi="Georgia"/>
          <w:b/>
          <w:bCs/>
          <w:color w:val="2563A8"/>
          <w:sz w:val="28"/>
          <w:szCs w:val="28"/>
        </w:rPr>
        <w:t xml:space="preserve">22.8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CAO-norm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Objectieve uitleg van een voor derden bestemde tekst, naar de bewoordingen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Eenzijdig wijzigingsbeding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Bevoegdheid tot wijziging zonder individuele instemming, mits zwaarwichtig belang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Zwaarwichtig belang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Belang van de werkgever dat, afgewogen tegen dat van de werknemer, de doorslag geeft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WGBL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Wet gelijke behandeling op grond van leeftijd bij de arbeid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Objectieve rechtvaardiging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Legitiem doel + passend middel + noodzakelijk middel</w:t>
            </w:r>
          </w:p>
        </w:tc>
      </w:tr>
    </w:tbl>
    <w:p>
      <w:pPr>
        <w:spacing w:after="100"/>
      </w:pPr>
    </w:p>
    <w:p>
      <w:pPr>
        <w:pStyle w:val="Heading2"/>
        <w:spacing w:after="120" w:before="200"/>
      </w:pPr>
      <w:r>
        <w:rPr>
          <w:rFonts w:ascii="Georgia" w:cs="Georgia" w:eastAsia="Georgia" w:hAnsi="Georgia"/>
          <w:b/>
          <w:bCs/>
          <w:color w:val="2563A8"/>
          <w:sz w:val="28"/>
          <w:szCs w:val="28"/>
        </w:rPr>
        <w:t xml:space="preserve">22.9 Samenvatting</w:t>
      </w:r>
    </w:p>
    <w:p>
      <w:pPr>
        <w:pStyle w:val="ListParagraph"/>
        <w:numPr>
          <w:ilvl w:val="0"/>
          <w:numId w:val="1"/>
        </w:numPr>
        <w:spacing w:after="80"/>
      </w:pPr>
      <w:r>
        <w:rPr>
          <w:rFonts w:ascii="Calibri" w:cs="Calibri" w:eastAsia="Calibri" w:hAnsi="Calibri"/>
          <w:sz w:val="22"/>
          <w:szCs w:val="22"/>
        </w:rPr>
        <w:t xml:space="preserve">Een pensioenreglement wordt objectief uitgelegd, naar de CAO-norm, in het voordeel van de lezer bij onduidelijkheid.</w:t>
      </w:r>
    </w:p>
    <w:p>
      <w:pPr>
        <w:pStyle w:val="ListParagraph"/>
        <w:numPr>
          <w:ilvl w:val="0"/>
          <w:numId w:val="1"/>
        </w:numPr>
        <w:spacing w:after="80"/>
      </w:pPr>
      <w:r>
        <w:rPr>
          <w:rFonts w:ascii="Calibri" w:cs="Calibri" w:eastAsia="Calibri" w:hAnsi="Calibri"/>
          <w:sz w:val="22"/>
          <w:szCs w:val="22"/>
        </w:rPr>
        <w:t xml:space="preserve">Eenzijdige wijziging vraagt een wijzigingsbeding én een zwaarwichtig belang dat de belangen van de werknemer naar redelijkheid en billijkheid doet wijken — dit is een zware toets, geen formaliteit.</w:t>
      </w:r>
    </w:p>
    <w:p>
      <w:pPr>
        <w:pStyle w:val="ListParagraph"/>
        <w:numPr>
          <w:ilvl w:val="0"/>
          <w:numId w:val="1"/>
        </w:numPr>
        <w:spacing w:after="80"/>
      </w:pPr>
      <w:r>
        <w:rPr>
          <w:rFonts w:ascii="Calibri" w:cs="Calibri" w:eastAsia="Calibri" w:hAnsi="Calibri"/>
          <w:sz w:val="22"/>
          <w:szCs w:val="22"/>
        </w:rPr>
        <w:t xml:space="preserve">OR-instemming is een belangrijk gezichtspunt maar geen vrijbrief; individuele weerstand blijft mogelijk.</w:t>
      </w:r>
    </w:p>
    <w:p>
      <w:pPr>
        <w:pStyle w:val="ListParagraph"/>
        <w:numPr>
          <w:ilvl w:val="0"/>
          <w:numId w:val="1"/>
        </w:numPr>
        <w:spacing w:after="80"/>
      </w:pPr>
      <w:r>
        <w:rPr>
          <w:rFonts w:ascii="Calibri" w:cs="Calibri" w:eastAsia="Calibri" w:hAnsi="Calibri"/>
          <w:sz w:val="22"/>
          <w:szCs w:val="22"/>
        </w:rPr>
        <w:t xml:space="preserve">Leeftijdsonderscheid bij pensioen is in beginsel verboden, met een specifieke uitzondering voor de actuarieel opgebouwde totale premiestaffel — niet voor elke leeftijdsafhankelijke keuze eromheen.</w:t>
      </w:r>
    </w:p>
    <w:p>
      <w:pPr>
        <w:pStyle w:val="ListParagraph"/>
        <w:numPr>
          <w:ilvl w:val="0"/>
          <w:numId w:val="1"/>
        </w:numPr>
        <w:spacing w:after="80"/>
      </w:pPr>
      <w:r>
        <w:rPr>
          <w:rFonts w:ascii="Calibri" w:cs="Calibri" w:eastAsia="Calibri" w:hAnsi="Calibri"/>
          <w:sz w:val="22"/>
          <w:szCs w:val="22"/>
        </w:rPr>
        <w:t xml:space="preserve">De objectieve-rechtvaardigingstoets kent drie stappen; falen op “noodzakelijkheid” (een minder ingrijpend alternatief was voorhanden) is de meest voorkomende valkuil.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23.</w:t>
      </w:r>
      <w:r>
        <w:rPr>
          <w:rFonts w:ascii="Calibri" w:cs="Calibri" w:eastAsia="Calibri" w:hAnsi="Calibri"/>
          <w:b w:val="false"/>
          <w:bCs w:val="false"/>
          <w:i w:val="false"/>
          <w:iCs w:val="false"/>
          <w:sz w:val="22"/>
          <w:szCs w:val="22"/>
        </w:rPr>
        <w:t xml:space="preserve"> Dit deel introduceerde het principe dat leeftijdsonderscheid objectief gerechtvaardigd moet worden. Deel 23 past dat principe volledig toe op het onderwerp waar deze cursus al sinds deel 6 om draait: de eerbiedigende werking zelf blijkt, volgens de wetgever, leeftijdsdiscriminatie op te leveren — en moet dus zelf worden gerechtvaardigd.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2026-08-17T11:22:45.740Z</dcterms:created>
  <dcterms:modified xsi:type="dcterms:W3CDTF">2026-08-17T11:22:45.741Z</dcterms:modified>
</cp:coreProperties>
</file>

<file path=docProps/custom.xml><?xml version="1.0" encoding="utf-8"?>
<Properties xmlns="http://schemas.openxmlformats.org/officeDocument/2006/custom-properties" xmlns:vt="http://schemas.openxmlformats.org/officeDocument/2006/docPropsVTypes"/>
</file>