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22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22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22.1 — CAO-norm toepassen</w:t>
      </w:r>
    </w:p>
    <w:p>
      <w:pPr>
        <w:spacing w:after="140" w:line="300"/>
      </w:pPr>
      <w:r>
        <w:rPr>
          <w:rFonts w:ascii="Calibri" w:cs="Calibri" w:eastAsia="Calibri" w:hAnsi="Calibri"/>
          <w:b w:val="false"/>
          <w:bCs w:val="false"/>
          <w:i w:val="false"/>
          <w:iCs w:val="false"/>
          <w:sz w:val="22"/>
          <w:szCs w:val="22"/>
        </w:rPr>
        <w:t xml:space="preserve">Een pensioenreglement bevat de zin: “Deelnemers die op de ingangsdatum 55 jaar of ouder zijn, behouden hun oude opbouwpercentage.” Een deelnemer van 54 jaar en 11 maanden meent dat de opsteller “eigenlijk” iedereen boven de 50 bedoelde, gezien een interne notitie die hij toevallig heeft gezien.</w:t>
      </w:r>
    </w:p>
    <w:p>
      <w:pPr>
        <w:spacing w:after="140" w:line="300"/>
      </w:pPr>
      <w:r>
        <w:rPr>
          <w:rFonts w:ascii="Calibri" w:cs="Calibri" w:eastAsia="Calibri" w:hAnsi="Calibri"/>
          <w:b w:val="false"/>
          <w:bCs w:val="false"/>
          <w:i w:val="false"/>
          <w:iCs w:val="false"/>
          <w:sz w:val="22"/>
          <w:szCs w:val="22"/>
        </w:rPr>
        <w:t xml:space="preserve">a. Welke uitlegmethode is hier aan de orde?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uitkomst?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CAO-norm — het reglement is bestemd voor een grote, bij de opstelling niet betrokken groep deelnemers.</w:t>
      </w:r>
    </w:p>
    <w:p>
      <w:pPr>
        <w:spacing w:after="140" w:line="300"/>
      </w:pPr>
      <w:r>
        <w:rPr>
          <w:rFonts w:ascii="Calibri" w:cs="Calibri" w:eastAsia="Calibri" w:hAnsi="Calibri"/>
          <w:b w:val="false"/>
          <w:bCs w:val="false"/>
          <w:i w:val="false"/>
          <w:iCs w:val="false"/>
          <w:sz w:val="22"/>
          <w:szCs w:val="22"/>
        </w:rPr>
        <w:t xml:space="preserve">b. De tekst “55 jaar of ouder” is voor een lezer eenduidig; een interne notitie die niet uit de tekst zelf blijkt, telt niet mee bij een objectieve uitleg. De deelnemer van 54 jaar en 11 maanden valt buiten de regeling, ongeacht wat de opsteller “eigenlijk” bedoelde.</w:t>
      </w:r>
    </w:p>
    <w:p>
      <w:pPr>
        <w:spacing w:after="100"/>
      </w:pPr>
    </w:p>
    <w:p>
      <w:pPr>
        <w:pStyle w:val="Heading2"/>
        <w:spacing w:after="120" w:before="200"/>
      </w:pPr>
      <w:r>
        <w:rPr>
          <w:rFonts w:ascii="Georgia" w:cs="Georgia" w:eastAsia="Georgia" w:hAnsi="Georgia"/>
          <w:b/>
          <w:bCs/>
          <w:color w:val="2563A8"/>
          <w:sz w:val="28"/>
          <w:szCs w:val="28"/>
        </w:rPr>
        <w:t xml:space="preserve">Opdracht 22.2 — Het wijzigingsbeding toetsen</w:t>
      </w:r>
    </w:p>
    <w:p>
      <w:pPr>
        <w:spacing w:after="140" w:line="300"/>
      </w:pPr>
      <w:r>
        <w:rPr>
          <w:rFonts w:ascii="Calibri" w:cs="Calibri" w:eastAsia="Calibri" w:hAnsi="Calibri"/>
          <w:b w:val="false"/>
          <w:bCs w:val="false"/>
          <w:i w:val="false"/>
          <w:iCs w:val="false"/>
          <w:sz w:val="22"/>
          <w:szCs w:val="22"/>
        </w:rPr>
        <w:t xml:space="preserve">Beoordeel voor elke situatie of aan de twee cumulatieve vereisten van artikel 19 Pw / 7:613 BW is voldaan.</w:t>
      </w:r>
    </w:p>
    <w:p>
      <w:pPr>
        <w:spacing w:after="140" w:line="300"/>
      </w:pPr>
      <w:r>
        <w:rPr>
          <w:rFonts w:ascii="Calibri" w:cs="Calibri" w:eastAsia="Calibri" w:hAnsi="Calibri"/>
          <w:b w:val="false"/>
          <w:bCs w:val="false"/>
          <w:i w:val="false"/>
          <w:iCs w:val="false"/>
          <w:sz w:val="22"/>
          <w:szCs w:val="22"/>
        </w:rPr>
        <w:t xml:space="preserve">a. Geen wijzigingsbeding aanwezig; de werkgever verkeert in ernstige financiële problemen.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Wijzigingsbeding aanwezig; de werkgever wil harmoniseren “omdat het opgeruimder oogt”.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Wijzigingsbeding aanwezig; de werkgever verkeert in aantoonbare, acute financiële nood en heeft geen alternatief.</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niet voldaan — zonder beding is eenzijdige wijziging niet mogelijk, ongeacht hoe zwaarwichtig het belang is. b: niet voldaan — een beding is aanwezig, maar “opgeruimder oogt” is geen zwaarwichtig belang; vergelijkbaar met de afgewezen “marktconforme regeling”-motivering uit paragraaf 22.4. c: in beginsel wél voldaan — acute financiële nood is een klassiek voorbeeld van een omstandigheid die een zwaarwichtig belang kan opleveren, mits goed onderbouwd en zonder minder ingrijpend alternatief.</w:t>
            </w:r>
          </w:p>
        </w:tc>
      </w:tr>
    </w:tbl>
    <w:p>
      <w:pPr>
        <w:spacing w:after="100"/>
      </w:pPr>
    </w:p>
    <w:p>
      <w:pPr>
        <w:pStyle w:val="Heading2"/>
        <w:spacing w:after="120" w:before="200"/>
      </w:pPr>
      <w:r>
        <w:rPr>
          <w:rFonts w:ascii="Georgia" w:cs="Georgia" w:eastAsia="Georgia" w:hAnsi="Georgia"/>
          <w:b/>
          <w:bCs/>
          <w:color w:val="2563A8"/>
          <w:sz w:val="28"/>
          <w:szCs w:val="28"/>
        </w:rPr>
        <w:t xml:space="preserve">Opdracht 22.3 — OR-instemming is geen vrijbrief</w:t>
      </w:r>
    </w:p>
    <w:p>
      <w:pPr>
        <w:spacing w:after="140" w:line="300"/>
      </w:pPr>
      <w:r>
        <w:rPr>
          <w:rFonts w:ascii="Calibri" w:cs="Calibri" w:eastAsia="Calibri" w:hAnsi="Calibri"/>
          <w:b w:val="false"/>
          <w:bCs w:val="false"/>
          <w:i w:val="false"/>
          <w:iCs w:val="false"/>
          <w:sz w:val="22"/>
          <w:szCs w:val="22"/>
        </w:rPr>
        <w:t xml:space="preserve">Van Doorn krijgt volledige instemming van Ilse en de OR voor de nieuwe regeling. Karel is het er persoonlijk niet mee eens en overweegt een individuele procedure.</w:t>
      </w:r>
    </w:p>
    <w:p>
      <w:pPr>
        <w:spacing w:after="140" w:line="300"/>
      </w:pPr>
      <w:r>
        <w:rPr>
          <w:rFonts w:ascii="Calibri" w:cs="Calibri" w:eastAsia="Calibri" w:hAnsi="Calibri"/>
          <w:b w:val="false"/>
          <w:bCs w:val="false"/>
          <w:i w:val="false"/>
          <w:iCs w:val="false"/>
          <w:sz w:val="22"/>
          <w:szCs w:val="22"/>
        </w:rPr>
        <w:t xml:space="preserve">a. Sluit de OR-instemming dit uit?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moet Van Doorn nog steeds kunnen aantonen, ook mét die instemming?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verhoogt de instemming wél voor Van Doorns positie?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een individuele werknemer kan zich blijven verzetten tegen een wijziging, ook als de OR en eventuele vakbonden hebben ingestemd.</w:t>
      </w:r>
    </w:p>
    <w:p>
      <w:pPr>
        <w:spacing w:after="140" w:line="300"/>
      </w:pPr>
      <w:r>
        <w:rPr>
          <w:rFonts w:ascii="Calibri" w:cs="Calibri" w:eastAsia="Calibri" w:hAnsi="Calibri"/>
          <w:b w:val="false"/>
          <w:bCs w:val="false"/>
          <w:i w:val="false"/>
          <w:iCs w:val="false"/>
          <w:sz w:val="22"/>
          <w:szCs w:val="22"/>
        </w:rPr>
        <w:t xml:space="preserve">b. Van Doorn moet nog steeds een zwaarwichtig belang kunnen aantonen dat, afgewogen tegen Karels belang, de doorslag geeft — de bewijslast verschuift niet naar Karel.</w:t>
      </w:r>
    </w:p>
    <w:p>
      <w:pPr>
        <w:spacing w:after="140" w:line="300"/>
      </w:pPr>
      <w:r>
        <w:rPr>
          <w:rFonts w:ascii="Calibri" w:cs="Calibri" w:eastAsia="Calibri" w:hAnsi="Calibri"/>
          <w:b w:val="false"/>
          <w:bCs w:val="false"/>
          <w:i w:val="false"/>
          <w:iCs w:val="false"/>
          <w:sz w:val="22"/>
          <w:szCs w:val="22"/>
        </w:rPr>
        <w:t xml:space="preserve">c. De instemming is een zwaarwegend gezichtspunt: rechters nemen bij een goed doorlopen OR-traject eerder aan dat het zwaarwichtige belang aanwezig is. Het verlaagt het risico aanzienlijk, maar sluit een individuele procedure niet uit.</w:t>
      </w:r>
    </w:p>
    <w:p>
      <w:pPr>
        <w:spacing w:after="100"/>
      </w:pPr>
    </w:p>
    <w:p>
      <w:pPr>
        <w:pStyle w:val="Heading2"/>
        <w:spacing w:after="120" w:before="200"/>
      </w:pPr>
      <w:r>
        <w:rPr>
          <w:rFonts w:ascii="Georgia" w:cs="Georgia" w:eastAsia="Georgia" w:hAnsi="Georgia"/>
          <w:b/>
          <w:bCs/>
          <w:color w:val="2563A8"/>
          <w:sz w:val="28"/>
          <w:szCs w:val="28"/>
        </w:rPr>
        <w:t xml:space="preserve">Opdracht 22.4 — De WGBL-uitzondering precies afgebakend</w:t>
      </w:r>
    </w:p>
    <w:p>
      <w:pPr>
        <w:spacing w:after="140" w:line="300"/>
      </w:pPr>
      <w:r>
        <w:rPr>
          <w:rFonts w:ascii="Calibri" w:cs="Calibri" w:eastAsia="Calibri" w:hAnsi="Calibri"/>
          <w:b w:val="false"/>
          <w:bCs w:val="false"/>
          <w:i w:val="false"/>
          <w:iCs w:val="false"/>
          <w:sz w:val="22"/>
          <w:szCs w:val="22"/>
        </w:rPr>
        <w:t xml:space="preserve">Een regeling kent een totale premiestaffel die exact het fiscale Staffelbesluit volgt, met een verdeling waarbij werknemers boven de 45 een hogere eigen bijdrage betalen dan werknemers onder de 45 — een verdeling die niet actuarieel is opgebouwd maar bedoeld is om de loonkosten voor jongeren te drukken.</w:t>
      </w:r>
    </w:p>
    <w:p>
      <w:pPr>
        <w:spacing w:after="140" w:line="300"/>
      </w:pPr>
      <w:r>
        <w:rPr>
          <w:rFonts w:ascii="Calibri" w:cs="Calibri" w:eastAsia="Calibri" w:hAnsi="Calibri"/>
          <w:b w:val="false"/>
          <w:bCs w:val="false"/>
          <w:i w:val="false"/>
          <w:iCs w:val="false"/>
          <w:sz w:val="22"/>
          <w:szCs w:val="22"/>
        </w:rPr>
        <w:t xml:space="preserve">a. Valt de totale staffel onder de WGBL-uitzondering?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Valt de verdeling van de bijdrage tussen werkgever en werknemer daar ook onder?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moet er gebeuren met het tweede element?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Ja — de van het Staffelbesluit afgeleide totale premiestaffel valt onder de wettelijke uitzondering.</w:t>
      </w:r>
    </w:p>
    <w:p>
      <w:pPr>
        <w:spacing w:after="140" w:line="300"/>
      </w:pPr>
      <w:r>
        <w:rPr>
          <w:rFonts w:ascii="Calibri" w:cs="Calibri" w:eastAsia="Calibri" w:hAnsi="Calibri"/>
          <w:b w:val="false"/>
          <w:bCs w:val="false"/>
          <w:i w:val="false"/>
          <w:iCs w:val="false"/>
          <w:sz w:val="22"/>
          <w:szCs w:val="22"/>
        </w:rPr>
        <w:t xml:space="preserve">b. Nee — een verdeling die zelf niet actuarieel is opgebouwd, valt niet automatisch onder dezelfde uitzondering, ook al hangt zij samen met een staffel die dat wel doet.</w:t>
      </w:r>
    </w:p>
    <w:p>
      <w:pPr>
        <w:spacing w:after="140" w:line="300"/>
      </w:pPr>
      <w:r>
        <w:rPr>
          <w:rFonts w:ascii="Calibri" w:cs="Calibri" w:eastAsia="Calibri" w:hAnsi="Calibri"/>
          <w:b w:val="false"/>
          <w:bCs w:val="false"/>
          <w:i w:val="false"/>
          <w:iCs w:val="false"/>
          <w:sz w:val="22"/>
          <w:szCs w:val="22"/>
        </w:rPr>
        <w:t xml:space="preserve">c. Dit element moet zelfstandig objectief worden gerechtvaardigd via de driestappentoets (legitiem doel, passend middel, noodzakelijk middel). Gezien het precedent uit paragraaf 22.6 (waar een vergelijkbare, niet-actuariële verdeling sneuvelde op noodzakelijkheid) is dit een risicovol element dat vooraf goed onderbouwd moet zijn, of beter: vermeden.</w:t>
      </w:r>
    </w:p>
    <w:p>
      <w:pPr>
        <w:spacing w:after="100"/>
      </w:pPr>
    </w:p>
    <w:p>
      <w:pPr>
        <w:pStyle w:val="Heading2"/>
        <w:spacing w:after="120" w:before="200"/>
      </w:pPr>
      <w:r>
        <w:rPr>
          <w:rFonts w:ascii="Georgia" w:cs="Georgia" w:eastAsia="Georgia" w:hAnsi="Georgia"/>
          <w:b/>
          <w:bCs/>
          <w:color w:val="2563A8"/>
          <w:sz w:val="28"/>
          <w:szCs w:val="28"/>
        </w:rPr>
        <w:t xml:space="preserve">Opdracht 22.5 — De driestappentoets zelf uitvoeren</w:t>
      </w:r>
    </w:p>
    <w:p>
      <w:pPr>
        <w:spacing w:after="140" w:line="300"/>
      </w:pPr>
      <w:r>
        <w:rPr>
          <w:rFonts w:ascii="Calibri" w:cs="Calibri" w:eastAsia="Calibri" w:hAnsi="Calibri"/>
          <w:b w:val="false"/>
          <w:bCs w:val="false"/>
          <w:i w:val="false"/>
          <w:iCs w:val="false"/>
          <w:sz w:val="22"/>
          <w:szCs w:val="22"/>
        </w:rPr>
        <w:t xml:space="preserve">Een werkgever wil, om de loonkosten te beheersen, oudere werknemers uitsluiten van een nieuwe, gunstige pensioenkeuzemogelijkheid (bijvoorbeeld een hoger vrijwillig bijspaarpercentage), met als reden: “ouderen hebben toch minder jaren te gaan, dus voor hen is het minder nuttig.”</w:t>
      </w:r>
    </w:p>
    <w:p>
      <w:pPr>
        <w:spacing w:after="140" w:line="300"/>
      </w:pPr>
      <w:r>
        <w:rPr>
          <w:rFonts w:ascii="Calibri" w:cs="Calibri" w:eastAsia="Calibri" w:hAnsi="Calibri"/>
          <w:b w:val="false"/>
          <w:bCs w:val="false"/>
          <w:i w:val="false"/>
          <w:iCs w:val="false"/>
          <w:sz w:val="22"/>
          <w:szCs w:val="22"/>
        </w:rPr>
        <w:t xml:space="preserve">Voer de driestappentoets uit.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Legitiem doel:</w:t>
      </w:r>
      <w:r>
        <w:rPr>
          <w:rFonts w:ascii="Calibri" w:cs="Calibri" w:eastAsia="Calibri" w:hAnsi="Calibri"/>
          <w:b w:val="false"/>
          <w:bCs w:val="false"/>
          <w:i w:val="false"/>
          <w:iCs w:val="false"/>
          <w:sz w:val="22"/>
          <w:szCs w:val="22"/>
        </w:rPr>
        <w:t xml:space="preserve"> kostenbeheersing kan op zichzelf een legitiem doel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Passend middel:</w:t>
      </w:r>
      <w:r>
        <w:rPr>
          <w:rFonts w:ascii="Calibri" w:cs="Calibri" w:eastAsia="Calibri" w:hAnsi="Calibri"/>
          <w:b w:val="false"/>
          <w:bCs w:val="false"/>
          <w:i w:val="false"/>
          <w:iCs w:val="false"/>
          <w:sz w:val="22"/>
          <w:szCs w:val="22"/>
        </w:rPr>
        <w:t xml:space="preserve"> uitsluiting van ouderen draagt bij aan kostenbeheersing, want minder deelnemers gebruiken de dure optie.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Noodzakelijk middel:</w:t>
      </w:r>
      <w:r>
        <w:rPr>
          <w:rFonts w:ascii="Calibri" w:cs="Calibri" w:eastAsia="Calibri" w:hAnsi="Calibri"/>
          <w:b w:val="false"/>
          <w:bCs w:val="false"/>
          <w:i w:val="false"/>
          <w:iCs w:val="false"/>
          <w:sz w:val="22"/>
          <w:szCs w:val="22"/>
        </w:rPr>
        <w:t xml:space="preserve"> hier faalt de redenering waarschijnlijk. Er zijn minder ingrijpende alternatieven denkbaar — bijvoorbeeld een collectief maximum aan de totale bijspaarregeling, of een gelijk aanbod met een gelijk maximumbedrag voor iedereen. Bovendien is de onderliggende aanname (“voor ouderen is het minder nuttig”) een generalisatie die niet voor elke individuele oudere werknemer opgaat — een eigen indicatie van onvoldoende precisie in het gekozen middel.</w:t>
      </w:r>
    </w:p>
    <w:p>
      <w:pPr>
        <w:spacing w:after="140" w:line="300"/>
      </w:pPr>
      <w:r>
        <w:rPr>
          <w:rFonts w:ascii="Calibri" w:cs="Calibri" w:eastAsia="Calibri" w:hAnsi="Calibri"/>
          <w:b w:val="false"/>
          <w:bCs w:val="false"/>
          <w:i w:val="false"/>
          <w:iCs w:val="false"/>
          <w:sz w:val="22"/>
          <w:szCs w:val="22"/>
        </w:rPr>
        <w:t xml:space="preserve">Conclusie: dit voorstel zou vermoedelijk sneuvelen op de noodzakelijkheidstoets, net als het voorbeeld uit paragraaf 22.6.</w:t>
      </w:r>
    </w:p>
    <w:p>
      <w:pPr>
        <w:spacing w:after="100"/>
      </w:pPr>
    </w:p>
    <w:p>
      <w:pPr>
        <w:pStyle w:val="Heading2"/>
        <w:spacing w:after="120" w:before="200"/>
      </w:pPr>
      <w:r>
        <w:rPr>
          <w:rFonts w:ascii="Georgia" w:cs="Georgia" w:eastAsia="Georgia" w:hAnsi="Georgia"/>
          <w:b/>
          <w:bCs/>
          <w:color w:val="2563A8"/>
          <w:sz w:val="28"/>
          <w:szCs w:val="28"/>
        </w:rPr>
        <w:t xml:space="preserve">Opdracht 22.6 — Stresstest voor Van Doorn</w:t>
      </w:r>
    </w:p>
    <w:p>
      <w:pPr>
        <w:spacing w:after="140" w:line="300"/>
      </w:pPr>
      <w:r>
        <w:rPr>
          <w:rFonts w:ascii="Calibri" w:cs="Calibri" w:eastAsia="Calibri" w:hAnsi="Calibri"/>
          <w:b w:val="false"/>
          <w:bCs w:val="false"/>
          <w:i w:val="false"/>
          <w:iCs w:val="false"/>
          <w:sz w:val="22"/>
          <w:szCs w:val="22"/>
        </w:rPr>
        <w:t xml:space="preserve">Formuleer, als voorbereiding op deel 23, in maximaal vijf zinnen het zwaarwichtige belang dat Van Doorn zou kunnen aanvoeren voor de wijziging naar een vlakke premie (met of zonder eerbiedigende werking), en toets zelf alvast of dit een steekhoudend argument lijkt in het licht van de rechtspraak uit paragraaf 22.4.</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Een sterk antwoord onderscheidt het wettelijke gegeven (de Wtp verplicht op enig moment tot een vlakke premie) van de specifieke, door Van Doorn zelf gemaakte keuzes daarbinnen (premiehoogte, wel of geen eerbiedigende werking, compensatieniveau). Het wettelijke gegeven zelf is een steviger fundament voor een zwaarwichtig belang dan een eigen bedrijfsvoorkeur zoals “marktconformiteit” — precies het onderscheid dat in de afgewezen zaken uit paragraaf 22.4 ontbrak. Beoordeel of de deelnemer dit onderscheid expliciet maakt.</w:t>
            </w:r>
          </w:p>
        </w:tc>
      </w:tr>
    </w:tbl>
    <w:p>
      <w:pPr>
        <w:spacing w:after="100"/>
      </w:pPr>
    </w:p>
    <w:p>
      <w:pPr>
        <w:pStyle w:val="Heading2"/>
        <w:spacing w:after="120" w:before="200"/>
      </w:pPr>
      <w:r>
        <w:rPr>
          <w:rFonts w:ascii="Georgia" w:cs="Georgia" w:eastAsia="Georgia" w:hAnsi="Georgia"/>
          <w:b/>
          <w:bCs/>
          <w:color w:val="2563A8"/>
          <w:sz w:val="28"/>
          <w:szCs w:val="28"/>
        </w:rPr>
        <w:t xml:space="preserve">Opdracht 22.7 — Terug naar de hele cursus</w:t>
      </w:r>
    </w:p>
    <w:p>
      <w:pPr>
        <w:spacing w:after="140" w:line="300"/>
      </w:pPr>
      <w:r>
        <w:rPr>
          <w:rFonts w:ascii="Calibri" w:cs="Calibri" w:eastAsia="Calibri" w:hAnsi="Calibri"/>
          <w:b w:val="false"/>
          <w:bCs w:val="false"/>
          <w:i w:val="false"/>
          <w:iCs w:val="false"/>
          <w:sz w:val="22"/>
          <w:szCs w:val="22"/>
        </w:rPr>
        <w:t xml:space="preserve">Noem twee eerdere delen waarin een instemmingsvraagstuk al impliciet aan de orde kwam, zonder dat toen het juridische toetsingskader van dit deel werd genoemd, en beschrijf kort wat dit deel daaraan toevoegt.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Deel 2 (de e-mailfout van Ferdi — instemming vóór contractering) en deel 7 (de OR-vragen over compensatie). Dit deel voegt toe: het precieze juridische toetsingskader waarmee een rechter een eenzijdige wijziging zou beoordelen als het toch tot een geschil komt — niet alleen “zorg dat de OR instemt” maar “zorg dat je zwaarwichtige belang op zichzelf, onafhankelijk van die instemming, overeind blijft.”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2026-08-17T11:22:45.766Z</dcterms:created>
  <dcterms:modified xsi:type="dcterms:W3CDTF">2026-08-17T11:22:45.766Z</dcterms:modified>
</cp:coreProperties>
</file>

<file path=docProps/custom.xml><?xml version="1.0" encoding="utf-8"?>
<Properties xmlns="http://schemas.openxmlformats.org/officeDocument/2006/custom-properties" xmlns:vt="http://schemas.openxmlformats.org/officeDocument/2006/docPropsVTypes"/>
</file>