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23 — Docentenhandleiding</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23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Dit is een van de meest onthullende dagdelen van de hele cursus: een aanname die sinds deel 6 als “de veilige keuze” is behandeld, blijkt zelf een juridisch te rechtvaardigen vorm van onderscheid te zijn. Twee dingen moeten landen:</w:t>
      </w:r>
    </w:p>
    <w:p>
      <w:pPr>
        <w:pStyle w:val="ListParagraph"/>
        <w:numPr>
          <w:ilvl w:val="0"/>
          <w:numId w:val="1"/>
        </w:numPr>
        <w:spacing w:after="80"/>
      </w:pPr>
      <w:r>
        <w:rPr>
          <w:rFonts w:ascii="Calibri" w:cs="Calibri" w:eastAsia="Calibri" w:hAnsi="Calibri"/>
          <w:sz w:val="22"/>
          <w:szCs w:val="22"/>
        </w:rPr>
        <w:t xml:space="preserve">1. Eerbiedigende werking is zelf leeftijdsonderscheid — dit erkent de wetgever zelf. Geen randopmerking maar een kernpunt uit de wetsgeschiedenis.</w:t>
      </w:r>
    </w:p>
    <w:p>
      <w:pPr>
        <w:pStyle w:val="ListParagraph"/>
        <w:numPr>
          <w:ilvl w:val="0"/>
          <w:numId w:val="1"/>
        </w:numPr>
        <w:spacing w:after="80"/>
      </w:pPr>
      <w:r>
        <w:rPr>
          <w:rFonts w:ascii="Calibri" w:cs="Calibri" w:eastAsia="Calibri" w:hAnsi="Calibri"/>
          <w:sz w:val="22"/>
          <w:szCs w:val="22"/>
        </w:rPr>
        <w:t xml:space="preserve">2. Er bestaat geen route rond de staffel die volledig onderscheidsvrij is. Dit voorkomt dat deelnemers de “andere” route als veilige uitweg gaan zien.</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6, aankondiging van de onthulling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Waarom eerbiediging leeftijdsonderscheid is, opdracht 23.1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rechtvaardiging van de wetgever, opdracht 23.2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met driestappentoets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keerzijde: ook niet-eerbiediging raakt onderscheid, opdracht 23.3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Houdbaarheid over decennia, opdracht 23.4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 kern van het dagdeel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Cohortvermenging, opdracht 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Advies voor Van Doorn, opdracht 23.6 en 23.7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Haal de rollenspel-casus uit deel 6 op (Ravi en Yasmin, dezelfde leeftijd, andere premie). Zeg: “Dat rollenspel bevatte toen al het antwoord op de vraag van vandaag, jullie kenden het feitenpatroon alleen nog niet onder zijn juridische naam.” Dit zet de toon voor een dagdeel dat bestaande kennis herkadert in plaats van compleet nieuwe stof introduceert.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is dit leeftijdsonderscheid.</w:t>
      </w:r>
      <w:r>
        <w:rPr>
          <w:rFonts w:ascii="Calibri" w:cs="Calibri" w:eastAsia="Calibri" w:hAnsi="Calibri"/>
          <w:b w:val="false"/>
          <w:bCs w:val="false"/>
          <w:i w:val="false"/>
          <w:iCs w:val="false"/>
          <w:sz w:val="22"/>
          <w:szCs w:val="22"/>
        </w:rPr>
        <w:t xml:space="preserve"> Laat opdracht 23.1 eerst zelfstandig maken vóórdat je het voordoet — het “aha”-effect is groter als deelnemers het zelf beredeneren vanuit het Ravi/Yasmin-voorbeeld.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rechtvaardiging van de wetgever.</w:t>
      </w:r>
      <w:r>
        <w:rPr>
          <w:rFonts w:ascii="Calibri" w:cs="Calibri" w:eastAsia="Calibri" w:hAnsi="Calibri"/>
          <w:b w:val="false"/>
          <w:bCs w:val="false"/>
          <w:i w:val="false"/>
          <w:iCs w:val="false"/>
          <w:sz w:val="22"/>
          <w:szCs w:val="22"/>
        </w:rPr>
        <w:t xml:space="preserve"> Dit is dichte, formele stof (memorie van toelichting). Vertaal het argument in gewone taal vóór je de officiële formulering toont: “de staffel bestond om iedereen, ongeacht leeftijd, evenveel opgebouwd pensioen per ingelegde euro te geven — en die logica voortzetten voor wie er al in zat, is verdedigbaar.” Pas dan de driestappentoets uit deel 22 erop toe, stap voor stap, met de groep actief meedenkend.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keerzijde.</w:t>
      </w:r>
      <w:r>
        <w:rPr>
          <w:rFonts w:ascii="Calibri" w:cs="Calibri" w:eastAsia="Calibri" w:hAnsi="Calibri"/>
          <w:b w:val="false"/>
          <w:bCs w:val="false"/>
          <w:i w:val="false"/>
          <w:iCs w:val="false"/>
          <w:sz w:val="22"/>
          <w:szCs w:val="22"/>
        </w:rPr>
        <w:t xml:space="preserve"> Dit onderdeel voorkomt de meest voorkomende denkfout na dit dagdeel: dat “niet eerbiedigen” de veilige, onderscheidsvrije keuze zou zijn. Besteed hier expliciete aandacht aan, met opdracht 23.3 als test. Schrijf de conclusie groot op de flap:</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Er bestaat geen route rond de staffel die volledig vrij is van te rechtvaardigen onderscheid.</w:t>
            </w:r>
          </w:p>
        </w:tc>
      </w:tr>
    </w:tbl>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Houdbaarheid over decennia — kern van het dagdeel.</w:t>
      </w:r>
      <w:r>
        <w:rPr>
          <w:rFonts w:ascii="Calibri" w:cs="Calibri" w:eastAsia="Calibri" w:hAnsi="Calibri"/>
          <w:b w:val="false"/>
          <w:bCs w:val="false"/>
          <w:i w:val="false"/>
          <w:iCs w:val="false"/>
          <w:sz w:val="22"/>
          <w:szCs w:val="22"/>
        </w:rPr>
        <w:t xml:space="preserve"> Neem hier de meeste tijd. Opdracht 23.4 is opgebouwd als een tijdreis (2028, 2042, 2057) en werkt het beste als de groep bij elk tijdstip opnieuw stemt: “is de rechtvaardiging hier nog sterk, gemiddeld, of zwak?” Laat de meningen uiteenlopen — dit is precies het soort casus waar redelijke juristen van mening kunnen verschillen, en dat inzicht (niet elke juridische vraag heeft één zeker antwoord) is zelf een leerdoel van niveau 3.</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Cohortvermenging.</w:t>
      </w:r>
      <w:r>
        <w:rPr>
          <w:rFonts w:ascii="Calibri" w:cs="Calibri" w:eastAsia="Calibri" w:hAnsi="Calibri"/>
          <w:b w:val="false"/>
          <w:bCs w:val="false"/>
          <w:i w:val="false"/>
          <w:iCs w:val="false"/>
          <w:sz w:val="22"/>
          <w:szCs w:val="22"/>
        </w:rPr>
        <w:t xml:space="preserve"> Koppel expliciet terug aan deel 6, opdracht 6.5 (de Kramer-overname) — deelnemers hebben dat feitenpatroon al gezien, nu krijgt het een nieuwe laag. Benadruk het praktische advies: harmonisatie na een overname niet uitstellen is niet alleen een operationeel maar ook een juridisch risicobeperkende maatregel.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Advies voor Van Doorn.</w:t>
      </w:r>
      <w:r>
        <w:rPr>
          <w:rFonts w:ascii="Calibri" w:cs="Calibri" w:eastAsia="Calibri" w:hAnsi="Calibri"/>
          <w:b w:val="false"/>
          <w:bCs w:val="false"/>
          <w:i w:val="false"/>
          <w:iCs w:val="false"/>
          <w:sz w:val="22"/>
          <w:szCs w:val="22"/>
        </w:rPr>
        <w:t xml:space="preserve"> Laat opdracht 23.6 en 23.7 na elkaar, individueel, als opbouw naar de definitieve juridische paragraaf die het rapport uit deel 21 aanvult. Dit is een concrete, tastbare toevoeging aan het portfolio dat deelnemers door de hele cursus heen opbouwen.</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eerbiedigende werking dan eigenlijk onwettig?”</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Nee — de wetgever heeft haar juist wettelijk mogelijk gemaakt, mét de erkenning dat zij onderscheid oplevert dat objectief gerechtvaardigd moet worden. Toegestaan met rechtvaardigingsplicht is iets anders dan onwettig.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“Wie toetst deze rechtvaardiging in de praktijk?”</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In de eerste plaats de werkgever en zijn adviseurs zelf, bij de vormgeving; bij een geschil uiteindelijk de rechter of, afhankelijk van het type geschil, het College voor de Rechten van de Mens (zie het voorbeeld uit deel 24) of de geschilleninstantie (deel 20).</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“Moet elke werkgever met een gesloten groep een juridisch advies hierover inwinnen?”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Dat is verstandig, zeker bij een groter of divers bestand. Voor een kleine, homogene groep met een overtuigend continuïteitsargument is het risico kleiner, maar de documentatieplicht (deel 7, transitieplan) blijft onverkort gelden.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“Verandert dit iets aan het advies dat in deel 6 werd gegeven?”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Niet aan de kernboodschap (dat eerbiediging in een jong bestand minder gunstig kan uitpakken), maar wel aan de onderbouwing ervan: wat toen een strategisch/financieel argument was, blijkt nu ook een juridisch argument te zijn.</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De kernzin over “geen route zonder onderscheid” groot op de flap</w:t>
      </w:r>
    </w:p>
    <w:p>
      <w:pPr>
        <w:pStyle w:val="ListParagraph"/>
        <w:numPr>
          <w:ilvl w:val="0"/>
          <w:numId w:val="1"/>
        </w:numPr>
        <w:spacing w:after="80"/>
      </w:pPr>
      <w:r>
        <w:rPr>
          <w:rFonts w:ascii="Calibri" w:cs="Calibri" w:eastAsia="Calibri" w:hAnsi="Calibri"/>
          <w:sz w:val="22"/>
          <w:szCs w:val="22"/>
        </w:rPr>
        <w:t xml:space="preserve">Het rollenspel-scenario uit deel 6 (Ravi/Yasmin) opnieuw beschikbaar als geheugensteun</w:t>
      </w:r>
    </w:p>
    <w:p>
      <w:pPr>
        <w:pStyle w:val="ListParagraph"/>
        <w:numPr>
          <w:ilvl w:val="0"/>
          <w:numId w:val="1"/>
        </w:numPr>
        <w:spacing w:after="80"/>
      </w:pPr>
      <w:r>
        <w:rPr>
          <w:rFonts w:ascii="Calibri" w:cs="Calibri" w:eastAsia="Calibri" w:hAnsi="Calibri"/>
          <w:sz w:val="22"/>
          <w:szCs w:val="22"/>
        </w:rPr>
        <w:t xml:space="preserve">De driestappentoets uit deel 22, hier hergebruikt als vast instrument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23.6 en 23.7. Kondig deel 24 aan: dezelfde onderliggende logica — dat 0%-uitkomsten of vermeden onderscheid geen vanzelfsprekend doel is — wordt daar toegepast op de fondsenwereld, met de evenwichtige belangenafweging bij compensatie en invaren.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2026-08-17T11:22:45.859Z</dcterms:created>
  <dcterms:modified xsi:type="dcterms:W3CDTF">2026-08-17T11:22:45.859Z</dcterms:modified>
</cp:coreProperties>
</file>

<file path=docProps/custom.xml><?xml version="1.0" encoding="utf-8"?>
<Properties xmlns="http://schemas.openxmlformats.org/officeDocument/2006/custom-properties" xmlns:vt="http://schemas.openxmlformats.org/officeDocument/2006/docPropsVTypes"/>
</file>