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23 — Het overgangsrecht juridisch doorgrond</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23 — Het overgangsrecht juridisch doorgrond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23.1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uitleggen waarom eerbiedigende werking van de progressieve premie zelf leeftijdsonderscheid oplevert;</w:t>
      </w:r>
    </w:p>
    <w:p>
      <w:pPr>
        <w:pStyle w:val="ListParagraph"/>
        <w:numPr>
          <w:ilvl w:val="0"/>
          <w:numId w:val="1"/>
        </w:numPr>
        <w:spacing w:after="80"/>
      </w:pPr>
      <w:r>
        <w:rPr>
          <w:rFonts w:ascii="Calibri" w:cs="Calibri" w:eastAsia="Calibri" w:hAnsi="Calibri"/>
          <w:sz w:val="22"/>
          <w:szCs w:val="22"/>
        </w:rPr>
        <w:t xml:space="preserve">2. de door de wetgever aangedragen objectieve rechtvaardiging voor dat onderscheid reproduceren en kritisch beoordelen;</w:t>
      </w:r>
    </w:p>
    <w:p>
      <w:pPr>
        <w:pStyle w:val="ListParagraph"/>
        <w:numPr>
          <w:ilvl w:val="0"/>
          <w:numId w:val="1"/>
        </w:numPr>
        <w:spacing w:after="80"/>
      </w:pPr>
      <w:r>
        <w:rPr>
          <w:rFonts w:ascii="Calibri" w:cs="Calibri" w:eastAsia="Calibri" w:hAnsi="Calibri"/>
          <w:sz w:val="22"/>
          <w:szCs w:val="22"/>
        </w:rPr>
        <w:t xml:space="preserve">3. de houdbaarheid van die rechtvaardiging over een lange tijdshorizon inschatten;</w:t>
      </w:r>
    </w:p>
    <w:p>
      <w:pPr>
        <w:pStyle w:val="ListParagraph"/>
        <w:numPr>
          <w:ilvl w:val="0"/>
          <w:numId w:val="1"/>
        </w:numPr>
        <w:spacing w:after="80"/>
      </w:pPr>
      <w:r>
        <w:rPr>
          <w:rFonts w:ascii="Calibri" w:cs="Calibri" w:eastAsia="Calibri" w:hAnsi="Calibri"/>
          <w:sz w:val="22"/>
          <w:szCs w:val="22"/>
        </w:rPr>
        <w:t xml:space="preserve">4. de complicaties bij cohortvermenging (overname, fusie) juridisch duiden;</w:t>
      </w:r>
    </w:p>
    <w:p>
      <w:pPr>
        <w:pStyle w:val="ListParagraph"/>
        <w:numPr>
          <w:ilvl w:val="0"/>
          <w:numId w:val="1"/>
        </w:numPr>
        <w:spacing w:after="80"/>
      </w:pPr>
      <w:r>
        <w:rPr>
          <w:rFonts w:ascii="Calibri" w:cs="Calibri" w:eastAsia="Calibri" w:hAnsi="Calibri"/>
          <w:sz w:val="22"/>
          <w:szCs w:val="22"/>
        </w:rPr>
        <w:t xml:space="preserve">5. het risico van een langlopende juridische uitdaging van een gesloten groep inschatten en daarop anticiperen;</w:t>
      </w:r>
    </w:p>
    <w:p>
      <w:pPr>
        <w:pStyle w:val="ListParagraph"/>
        <w:numPr>
          <w:ilvl w:val="0"/>
          <w:numId w:val="1"/>
        </w:numPr>
        <w:spacing w:after="80"/>
      </w:pPr>
      <w:r>
        <w:rPr>
          <w:rFonts w:ascii="Calibri" w:cs="Calibri" w:eastAsia="Calibri" w:hAnsi="Calibri"/>
          <w:sz w:val="22"/>
          <w:szCs w:val="22"/>
        </w:rPr>
        <w:t xml:space="preserve">6. een juridisch onderbouwd advies geven over de houdbaarheid van Van Doorns keuze voor of tegen eerbiedigende werking.</w:t>
      </w:r>
    </w:p>
    <w:p>
      <w:pPr>
        <w:spacing w:after="100"/>
      </w:pPr>
    </w:p>
    <w:p>
      <w:pPr>
        <w:pStyle w:val="Heading2"/>
        <w:spacing w:after="120" w:before="200"/>
      </w:pPr>
      <w:r>
        <w:rPr>
          <w:rFonts w:ascii="Georgia" w:cs="Georgia" w:eastAsia="Georgia" w:hAnsi="Georgia"/>
          <w:b/>
          <w:bCs/>
          <w:color w:val="2563A8"/>
          <w:sz w:val="28"/>
          <w:szCs w:val="28"/>
        </w:rPr>
        <w:t xml:space="preserve">23.2 De onthulling die dit deel opent</w:t>
      </w:r>
    </w:p>
    <w:p>
      <w:pPr>
        <w:spacing w:after="140" w:line="300"/>
      </w:pPr>
      <w:r>
        <w:rPr>
          <w:rFonts w:ascii="Calibri" w:cs="Calibri" w:eastAsia="Calibri" w:hAnsi="Calibri"/>
          <w:b w:val="false"/>
          <w:bCs w:val="false"/>
          <w:i w:val="false"/>
          <w:iCs w:val="false"/>
          <w:sz w:val="22"/>
          <w:szCs w:val="22"/>
        </w:rPr>
        <w:t xml:space="preserve">Terug naar deel 6: de eerbiedigende werking van de progressieve premie is daar behandeld als een </w:t>
      </w:r>
      <w:r>
        <w:rPr>
          <w:rFonts w:ascii="Calibri" w:cs="Calibri" w:eastAsia="Calibri" w:hAnsi="Calibri"/>
          <w:b/>
          <w:bCs/>
          <w:i w:val="false"/>
          <w:iCs w:val="false"/>
          <w:sz w:val="22"/>
          <w:szCs w:val="22"/>
        </w:rPr>
        <w:t xml:space="preserve">beleidskeuze</w:t>
      </w:r>
      <w:r>
        <w:rPr>
          <w:rFonts w:ascii="Calibri" w:cs="Calibri" w:eastAsia="Calibri" w:hAnsi="Calibri"/>
          <w:b w:val="false"/>
          <w:bCs w:val="false"/>
          <w:i w:val="false"/>
          <w:iCs w:val="false"/>
          <w:sz w:val="22"/>
          <w:szCs w:val="22"/>
        </w:rPr>
        <w:t xml:space="preserve"> — een afweging tussen twee regelingen naast elkaar, met voor- en nadelen. Dit deel voegt een laag toe die in deel 6 bewust nog niet werd blootgelegd: </w:t>
      </w:r>
      <w:r>
        <w:rPr>
          <w:rFonts w:ascii="Calibri" w:cs="Calibri" w:eastAsia="Calibri" w:hAnsi="Calibri"/>
          <w:b/>
          <w:bCs/>
          <w:i w:val="false"/>
          <w:iCs w:val="false"/>
          <w:sz w:val="22"/>
          <w:szCs w:val="22"/>
        </w:rPr>
        <w:t xml:space="preserve">de eerbiedigende werking is zelf leeftijdsonderscheid in de zin van de WGBL, en moet dus zelf objectief worden gerechtvaardigd.</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&lt;cite index=“129-1”&gt;Hoewel de wet eerbiedigende werking toestaat, bevestigt de memorie van toelichting bij de Wtp dat daarmee sprake is van leeftijdsdiscriminatie bij de arbeid.&lt;/cite&gt; Dit is geen slordigheid van de wetgever of een obscuur detail — het is een bewuste erkenning die direct voortbouwt op het kader uit deel 22.</w:t>
      </w:r>
    </w:p>
    <w:p>
      <w:pPr>
        <w:spacing w:after="100"/>
      </w:pPr>
    </w:p>
    <w:p>
      <w:pPr>
        <w:pStyle w:val="Heading2"/>
        <w:spacing w:after="120" w:before="200"/>
      </w:pPr>
      <w:r>
        <w:rPr>
          <w:rFonts w:ascii="Georgia" w:cs="Georgia" w:eastAsia="Georgia" w:hAnsi="Georgia"/>
          <w:b/>
          <w:bCs/>
          <w:color w:val="2563A8"/>
          <w:sz w:val="28"/>
          <w:szCs w:val="28"/>
        </w:rPr>
        <w:t xml:space="preserve">23.3 Waarom eerbiedigende werking leeftijdsonderscheid oplevert</w:t>
      </w:r>
    </w:p>
    <w:p>
      <w:pPr>
        <w:spacing w:after="140" w:line="300"/>
      </w:pPr>
      <w:r>
        <w:rPr>
          <w:rFonts w:ascii="Calibri" w:cs="Calibri" w:eastAsia="Calibri" w:hAnsi="Calibri"/>
          <w:b w:val="false"/>
          <w:bCs w:val="false"/>
          <w:i w:val="false"/>
          <w:iCs w:val="false"/>
          <w:sz w:val="22"/>
          <w:szCs w:val="22"/>
        </w:rPr>
        <w:t xml:space="preserve">Denk terug aan het rollenspel uit deel 6: Ravi (27, nieuw) krijgt een vlakke premie van 15%; Yasmin (30, zittend, onder eerbiedigende werking) krijgt haar staffelpercentage van bijvoorbeeld 9,7%. Twee mensen van vrijwel dezelfde leeftijd, met een wezenlijk andere premie-inleg — niet gebaseerd op functie, prestatie of ervaring, maar uitsluitend op het </w:t>
      </w:r>
      <w:r>
        <w:rPr>
          <w:rFonts w:ascii="Calibri" w:cs="Calibri" w:eastAsia="Calibri" w:hAnsi="Calibri"/>
          <w:b/>
          <w:bCs/>
          <w:i w:val="false"/>
          <w:iCs w:val="false"/>
          <w:sz w:val="22"/>
          <w:szCs w:val="22"/>
        </w:rPr>
        <w:t xml:space="preserve">moment van indiensttreding</w:t>
      </w:r>
      <w:r>
        <w:rPr>
          <w:rFonts w:ascii="Calibri" w:cs="Calibri" w:eastAsia="Calibri" w:hAnsi="Calibri"/>
          <w:b w:val="false"/>
          <w:bCs w:val="false"/>
          <w:i w:val="false"/>
          <w:iCs w:val="false"/>
          <w:sz w:val="22"/>
          <w:szCs w:val="22"/>
        </w:rPr>
        <w:t xml:space="preserve"> ten opzichte van de omzettingsdatum. Dat is per definitie onderscheid dat teruggrijpt op een leeftijdsgerelateerd criterium, ook al is “leeftijd” zelf niet het formele onderscheidingscriterium — vandaar dat dit als </w:t>
      </w:r>
      <w:r>
        <w:rPr>
          <w:rFonts w:ascii="Calibri" w:cs="Calibri" w:eastAsia="Calibri" w:hAnsi="Calibri"/>
          <w:b/>
          <w:bCs/>
          <w:i w:val="false"/>
          <w:iCs w:val="false"/>
          <w:sz w:val="22"/>
          <w:szCs w:val="22"/>
        </w:rPr>
        <w:t xml:space="preserve">indirect</w:t>
      </w:r>
      <w:r>
        <w:rPr>
          <w:rFonts w:ascii="Calibri" w:cs="Calibri" w:eastAsia="Calibri" w:hAnsi="Calibri"/>
          <w:b w:val="false"/>
          <w:bCs w:val="false"/>
          <w:i w:val="false"/>
          <w:iCs w:val="false"/>
          <w:sz w:val="22"/>
          <w:szCs w:val="22"/>
        </w:rPr>
        <w:t xml:space="preserve"> leeftijdsonderscheid wordt geduid.</w:t>
      </w:r>
    </w:p>
    <w:p>
      <w:pPr>
        <w:spacing w:after="100"/>
      </w:pPr>
    </w:p>
    <w:p>
      <w:pPr>
        <w:pStyle w:val="Heading2"/>
        <w:spacing w:after="120" w:before="200"/>
      </w:pPr>
      <w:r>
        <w:rPr>
          <w:rFonts w:ascii="Georgia" w:cs="Georgia" w:eastAsia="Georgia" w:hAnsi="Georgia"/>
          <w:b/>
          <w:bCs/>
          <w:color w:val="2563A8"/>
          <w:sz w:val="28"/>
          <w:szCs w:val="28"/>
        </w:rPr>
        <w:t xml:space="preserve">23.4 De rechtvaardiging die de wetgever aandraagt</w:t>
      </w:r>
    </w:p>
    <w:p>
      <w:pPr>
        <w:spacing w:after="140" w:line="300"/>
      </w:pPr>
      <w:r>
        <w:rPr>
          <w:rFonts w:ascii="Calibri" w:cs="Calibri" w:eastAsia="Calibri" w:hAnsi="Calibri"/>
          <w:b w:val="false"/>
          <w:bCs w:val="false"/>
          <w:i w:val="false"/>
          <w:iCs w:val="false"/>
          <w:sz w:val="22"/>
          <w:szCs w:val="22"/>
        </w:rPr>
        <w:t xml:space="preserve">&lt;cite index=“129-1”&gt;Uit de wetsgeschiedenis blijkt dat voor elk cohort, bij gelijke salarissen en in gelijke omstandigheden, eenzelfde pensioenuitkomst per ingelegde premie-euro is te verwachten — en dat daarom gebruik wordt gemaakt van de leeftijdsafhankelijke staffel.&lt;/cite&gt;</w:t>
      </w:r>
    </w:p>
    <w:p>
      <w:pPr>
        <w:spacing w:after="140" w:line="300"/>
      </w:pPr>
      <w:r>
        <w:rPr>
          <w:rFonts w:ascii="Calibri" w:cs="Calibri" w:eastAsia="Calibri" w:hAnsi="Calibri"/>
          <w:b w:val="false"/>
          <w:bCs w:val="false"/>
          <w:i w:val="false"/>
          <w:iCs w:val="false"/>
          <w:sz w:val="22"/>
          <w:szCs w:val="22"/>
        </w:rPr>
        <w:t xml:space="preserve">Vertaald: de staffel is niet willekeurig leeftijdsonderscheid, maar een </w:t>
      </w:r>
      <w:r>
        <w:rPr>
          <w:rFonts w:ascii="Calibri" w:cs="Calibri" w:eastAsia="Calibri" w:hAnsi="Calibri"/>
          <w:b/>
          <w:bCs/>
          <w:i w:val="false"/>
          <w:iCs w:val="false"/>
          <w:sz w:val="22"/>
          <w:szCs w:val="22"/>
        </w:rPr>
        <w:t xml:space="preserve">actuarieel verantwoorde</w:t>
      </w:r>
      <w:r>
        <w:rPr>
          <w:rFonts w:ascii="Calibri" w:cs="Calibri" w:eastAsia="Calibri" w:hAnsi="Calibri"/>
          <w:b w:val="false"/>
          <w:bCs w:val="false"/>
          <w:i w:val="false"/>
          <w:iCs w:val="false"/>
          <w:sz w:val="22"/>
          <w:szCs w:val="22"/>
        </w:rPr>
        <w:t xml:space="preserve"> vertaling van het uitgangspunt “gelijke opbouw voor gelijk werk” (het oude regime uit deel 3). Het argument is dus niet “oudere werknemers verdienen meer” maar “bij een gelijke opbouwdoelstelling hoort, actuarieel bezien, een hogere inleg naarmate iemand ouder is — en die logica handhaven voor een gesloten groep is een verdedigbare voortzetting van een bestaand systeem, niet een nieuw onderscheid.”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Toets dit langs de driestappentoets uit deel 22:</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Legitiem doel — continuïteit van gewekte verwachtingen en bescherming van de belangen van zittende, doorgaans oudere deelnemers die minder tijd hebben om een overstap naar een lagere premie op te vangen (vergelijk deel 7, het compensatievraagstuk).</w:t>
      </w:r>
    </w:p>
    <w:p>
      <w:pPr>
        <w:pStyle w:val="ListParagraph"/>
        <w:numPr>
          <w:ilvl w:val="0"/>
          <w:numId w:val="1"/>
        </w:numPr>
        <w:spacing w:after="80"/>
      </w:pPr>
      <w:r>
        <w:rPr>
          <w:rFonts w:ascii="Calibri" w:cs="Calibri" w:eastAsia="Calibri" w:hAnsi="Calibri"/>
          <w:sz w:val="22"/>
          <w:szCs w:val="22"/>
        </w:rPr>
        <w:t xml:space="preserve">2. Passend middel — het voortzetten van de staffel voor precies de groep die al in die systematiek zat, sluit direct aan bij dat doel.</w:t>
      </w:r>
    </w:p>
    <w:p>
      <w:pPr>
        <w:pStyle w:val="ListParagraph"/>
        <w:numPr>
          <w:ilvl w:val="0"/>
          <w:numId w:val="1"/>
        </w:numPr>
        <w:spacing w:after="80"/>
      </w:pPr>
      <w:r>
        <w:rPr>
          <w:rFonts w:ascii="Calibri" w:cs="Calibri" w:eastAsia="Calibri" w:hAnsi="Calibri"/>
          <w:sz w:val="22"/>
          <w:szCs w:val="22"/>
        </w:rPr>
        <w:t xml:space="preserve">3. Noodzakelijk middel — dit is de stap waar de discussie in de praktijk het scherpst wordt: was er geen alternatief dat minder onderscheid meebrengt en toch de oudere deelnemer beschermt, bijvoorbeeld een generieke, leeftijdsonafhankelijke compensatieregeling (deel 7) in plaats van het laten voortbestaan van de staffel zelf?</w:t>
      </w:r>
    </w:p>
    <w:p>
      <w:pPr>
        <w:spacing w:after="100"/>
      </w:pPr>
    </w:p>
    <w:p>
      <w:pPr>
        <w:pStyle w:val="Heading2"/>
        <w:spacing w:after="120" w:before="200"/>
      </w:pPr>
      <w:r>
        <w:rPr>
          <w:rFonts w:ascii="Georgia" w:cs="Georgia" w:eastAsia="Georgia" w:hAnsi="Georgia"/>
          <w:b/>
          <w:bCs/>
          <w:color w:val="2563A8"/>
          <w:sz w:val="28"/>
          <w:szCs w:val="28"/>
        </w:rPr>
        <w:t xml:space="preserve">23.5 De keerzijde: ook níet kiezen voor eerbiediging raakt gelijke behandeling</w:t>
      </w:r>
    </w:p>
    <w:p>
      <w:pPr>
        <w:spacing w:after="140" w:line="300"/>
      </w:pPr>
      <w:r>
        <w:rPr>
          <w:rFonts w:ascii="Calibri" w:cs="Calibri" w:eastAsia="Calibri" w:hAnsi="Calibri"/>
          <w:b w:val="false"/>
          <w:bCs w:val="false"/>
          <w:i w:val="false"/>
          <w:iCs w:val="false"/>
          <w:sz w:val="22"/>
          <w:szCs w:val="22"/>
        </w:rPr>
        <w:t xml:space="preserve">Dit deel scherpt een inzicht uit deel 6 verder aan. &lt;cite index=“128-1”&gt;Kiest een werkgever ervoor de staffel af te schaffen en over te stappen op één vlakke premie voor alle bestaande en nieuwe werknemers, met een leeftijdsafhankelijke compensatie, dan levert ook dát onderscheid op dat objectief moet worden gerechtvaardigd&lt;/cite&gt; — want de compensatie zelf is per definitie leeftijdsafhankelijk (hoger voor Karel, lager of nihil voor Yasmin), &lt;cite index=“128-1”&gt;omdat de oude, gesloten regeling immers een met de leeftijd stijgend premieverloop kende.&lt;/cite&gt;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conclusie die dit oplevert, is ongemakkelijk maar belangrijk:</w:t>
      </w:r>
      <w:r>
        <w:rPr>
          <w:rFonts w:ascii="Calibri" w:cs="Calibri" w:eastAsia="Calibri" w:hAnsi="Calibri"/>
          <w:b w:val="false"/>
          <w:bCs w:val="false"/>
          <w:i w:val="false"/>
          <w:iCs w:val="false"/>
          <w:sz w:val="22"/>
          <w:szCs w:val="22"/>
        </w:rPr>
        <w:t xml:space="preserve"> er bestaat geen route rond de progressieve staffel die volledig vrij is van leeftijdsonderscheid. Elke route — eerbiedigen, niet eerbiedigen met compensatie, of niet eerbiedigen zonder compensatie — brengt een vorm van leeftijdsgerelateerd onderscheid met zich mee die eigen rechtvaardiging vergt. &lt;cite index=“128-1”&gt;Dit is precies waarom de werkgever, ongeacht de gekozen route, expliciet moet kunnen uitleggen waarom het gemaakte onderscheid in de concrete situatie gerechtvaardigd is.&lt;/cite&gt;</w:t>
      </w:r>
    </w:p>
    <w:p>
      <w:pPr>
        <w:spacing w:after="100"/>
      </w:pPr>
    </w:p>
    <w:p>
      <w:pPr>
        <w:pStyle w:val="Heading2"/>
        <w:spacing w:after="120" w:before="200"/>
      </w:pPr>
      <w:r>
        <w:rPr>
          <w:rFonts w:ascii="Georgia" w:cs="Georgia" w:eastAsia="Georgia" w:hAnsi="Georgia"/>
          <w:b/>
          <w:bCs/>
          <w:color w:val="2563A8"/>
          <w:sz w:val="28"/>
          <w:szCs w:val="28"/>
        </w:rPr>
        <w:t xml:space="preserve">23.6 Houdbaarheid over decennia: het probleem van de lange staart</w:t>
      </w:r>
    </w:p>
    <w:p>
      <w:pPr>
        <w:spacing w:after="140" w:line="300"/>
      </w:pPr>
      <w:r>
        <w:rPr>
          <w:rFonts w:ascii="Calibri" w:cs="Calibri" w:eastAsia="Calibri" w:hAnsi="Calibri"/>
          <w:b w:val="false"/>
          <w:bCs w:val="false"/>
          <w:i w:val="false"/>
          <w:iCs w:val="false"/>
          <w:sz w:val="22"/>
          <w:szCs w:val="22"/>
        </w:rPr>
        <w:t xml:space="preserve">Deel 6 signaleerde al dat de gesloten groep “dertig tot veertig jaar” kan meegaan. Dit deel voegt de juridische vraag toe: </w:t>
      </w:r>
      <w:r>
        <w:rPr>
          <w:rFonts w:ascii="Calibri" w:cs="Calibri" w:eastAsia="Calibri" w:hAnsi="Calibri"/>
          <w:b/>
          <w:bCs/>
          <w:i w:val="false"/>
          <w:iCs w:val="false"/>
          <w:sz w:val="22"/>
          <w:szCs w:val="22"/>
        </w:rPr>
        <w:t xml:space="preserve">blijft de rechtvaardiging voor die groep houdbaar over die hele periode?</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argument van vandaag is niet automatisch het argument van over twintig jaar.</w:t>
      </w:r>
      <w:r>
        <w:rPr>
          <w:rFonts w:ascii="Calibri" w:cs="Calibri" w:eastAsia="Calibri" w:hAnsi="Calibri"/>
          <w:b w:val="false"/>
          <w:bCs w:val="false"/>
          <w:i w:val="false"/>
          <w:iCs w:val="false"/>
          <w:sz w:val="22"/>
          <w:szCs w:val="22"/>
        </w:rPr>
        <w:t xml:space="preserve"> De rechtvaardiging uit paragraaf 23.4 steunt op continuïteit van gewekte verwachtingen en bescherming van deelnemers die weinig tijd hebben om zich aan te passen. Voor een deelnemer die op het omzetmoment 62 was, is dat argument sterk. Voor diezelfde regeling, toegepast over twintig jaar op een deelnemer die inmiddels van baan is gewisseld en teruggekeerd, of op de allerjongste leden van de oorspronkelijke gesloten groep die nog decennia te gaan hebben — wordt het argument geleidelijk zwakker. Het is geen automatisme dat een rechtvaardiging die bij de invoering overtuigend was, dat blijft voor de hele resterende looptijd van de gesloten groep.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Praktisch advies:</w:t>
      </w:r>
      <w:r>
        <w:rPr>
          <w:rFonts w:ascii="Calibri" w:cs="Calibri" w:eastAsia="Calibri" w:hAnsi="Calibri"/>
          <w:b w:val="false"/>
          <w:bCs w:val="false"/>
          <w:i w:val="false"/>
          <w:iCs w:val="false"/>
          <w:sz w:val="22"/>
          <w:szCs w:val="22"/>
        </w:rPr>
        <w:t xml:space="preserve"> documenteer de rechtvaardiging op het moment van de keuze zorgvuldig (deel 7, het transitieplan als vastlegging), en beschouw haar niet als een eenmalig verkregen vrijbrief maar als een positie die, naarmate de tijd verstrijkt en de samenstelling van de gesloten groep verandert, opnieuw doordacht moet kunnen worden.</w:t>
      </w:r>
    </w:p>
    <w:p>
      <w:pPr>
        <w:spacing w:after="100"/>
      </w:pPr>
    </w:p>
    <w:p>
      <w:pPr>
        <w:pStyle w:val="Heading2"/>
        <w:spacing w:after="120" w:before="200"/>
      </w:pPr>
      <w:r>
        <w:rPr>
          <w:rFonts w:ascii="Georgia" w:cs="Georgia" w:eastAsia="Georgia" w:hAnsi="Georgia"/>
          <w:b/>
          <w:bCs/>
          <w:color w:val="2563A8"/>
          <w:sz w:val="28"/>
          <w:szCs w:val="28"/>
        </w:rPr>
        <w:t xml:space="preserve">23.7 Cohortvermenging: overnames en fusies</w:t>
      </w:r>
    </w:p>
    <w:p>
      <w:pPr>
        <w:spacing w:after="140" w:line="300"/>
      </w:pPr>
      <w:r>
        <w:rPr>
          <w:rFonts w:ascii="Calibri" w:cs="Calibri" w:eastAsia="Calibri" w:hAnsi="Calibri"/>
          <w:b w:val="false"/>
          <w:bCs w:val="false"/>
          <w:i w:val="false"/>
          <w:iCs w:val="false"/>
          <w:sz w:val="22"/>
          <w:szCs w:val="22"/>
        </w:rPr>
        <w:t xml:space="preserve">Terug naar deel 6, opdracht 6.5: Van Doorn neemt Kramer over, met een eigen, andere regeling. Dit deel voegt de juridische laag toe.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Elke fusie of overname die twee cohorten samenbrengt, voegt een nieuwe laag onderscheid toe.</w:t>
      </w:r>
      <w:r>
        <w:rPr>
          <w:rFonts w:ascii="Calibri" w:cs="Calibri" w:eastAsia="Calibri" w:hAnsi="Calibri"/>
          <w:b w:val="false"/>
          <w:bCs w:val="false"/>
          <w:i w:val="false"/>
          <w:iCs w:val="false"/>
          <w:sz w:val="22"/>
          <w:szCs w:val="22"/>
        </w:rPr>
        <w:t xml:space="preserve"> Werknemers van Kramer die hun eigen vlakke premie behouden naast Van Doorns gesloten, progressieve groep, vormen een derde categorie naast de twee die Van Doorn al had. Elke keer dat zo’n cohort ontstaat, moet in beginsel opnieuw worden getoetst of het onderscheid tussen de groepen objectief gerechtvaardigd blijft — niet omdat de oorspronkelijke rechtvaardiging vervalt, maar omdat een nieuwe vergelijkingsgroep een nieuwe blik op de proportionaliteit kan vergen.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Risicobeoordeling voor de adviespraktijk.</w:t>
      </w:r>
      <w:r>
        <w:rPr>
          <w:rFonts w:ascii="Calibri" w:cs="Calibri" w:eastAsia="Calibri" w:hAnsi="Calibri"/>
          <w:b w:val="false"/>
          <w:bCs w:val="false"/>
          <w:i w:val="false"/>
          <w:iCs w:val="false"/>
          <w:sz w:val="22"/>
          <w:szCs w:val="22"/>
        </w:rPr>
        <w:t xml:space="preserve"> Hoe meer cohorten een werkgever door de jaren heen opbouwt — door overnames, door meerdere transitiemomenten, door individuele keuzevrijheid (deel 6, de tussenvorm) — hoe kwetsbaarder de onderbouwing in zijn geheel wordt voor een juridische uitdaging. Dit is een concreet argument om, waar mogelijk, harmonisatie na een overname niet uit te stellen (zoals in deel 6 al werd gesignaleerd als operationeel risico, hier herhaald als juridisch risico).</w:t>
      </w:r>
    </w:p>
    <w:p>
      <w:pPr>
        <w:spacing w:after="100"/>
      </w:pPr>
    </w:p>
    <w:p>
      <w:pPr>
        <w:pStyle w:val="Heading2"/>
        <w:spacing w:after="120" w:before="200"/>
      </w:pPr>
      <w:r>
        <w:rPr>
          <w:rFonts w:ascii="Georgia" w:cs="Georgia" w:eastAsia="Georgia" w:hAnsi="Georgia"/>
          <w:b/>
          <w:bCs/>
          <w:color w:val="2563A8"/>
          <w:sz w:val="28"/>
          <w:szCs w:val="28"/>
        </w:rPr>
        <w:t xml:space="preserve">23.8 Toepassing op Van Doorn: de houdbaarheidstoets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Als Van Doorn kiest voor eerbiedigende werking:</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Rechtvaardiging: bescherming van Karel en vergelijkbare, oudere zittende deelnemers, gebaseerd op continuïteit van een actuarieel verantwoorde systematiek.</w:t>
      </w:r>
    </w:p>
    <w:p>
      <w:pPr>
        <w:pStyle w:val="ListParagraph"/>
        <w:numPr>
          <w:ilvl w:val="0"/>
          <w:numId w:val="1"/>
        </w:numPr>
        <w:spacing w:after="80"/>
      </w:pPr>
      <w:r>
        <w:rPr>
          <w:rFonts w:ascii="Calibri" w:cs="Calibri" w:eastAsia="Calibri" w:hAnsi="Calibri"/>
          <w:sz w:val="22"/>
          <w:szCs w:val="22"/>
        </w:rPr>
        <w:t xml:space="preserve">Zwak punt: Yasmin (26) zit ook in de gesloten groep en profiteert veel minder van deze bescherming dan Karel — het argument is voor haar aanzienlijk minder overtuigend, precies het inzicht dat deel 6 al signaleerde (“in een jong bestand is eerbiedigende werking géén vriendelijke keuze”), nu juridisch onderbouwd: de objectieve rechtvaardiging is sterker naarmate de deelnemer dichter bij de bescherming staat waarvoor zij is bedoeld.</w:t>
      </w:r>
    </w:p>
    <w:p>
      <w:pPr>
        <w:pStyle w:val="ListParagraph"/>
        <w:numPr>
          <w:ilvl w:val="0"/>
          <w:numId w:val="1"/>
        </w:numPr>
        <w:spacing w:after="80"/>
      </w:pPr>
      <w:r>
        <w:rPr>
          <w:rFonts w:ascii="Calibri" w:cs="Calibri" w:eastAsia="Calibri" w:hAnsi="Calibri"/>
          <w:sz w:val="22"/>
          <w:szCs w:val="22"/>
        </w:rPr>
        <w:t xml:space="preserve">Houdbaarheid: sterk voor de eerste tien à vijftien jaar; navraag en herbeoordeling raadzaam naarmate de gesloten groep verjongt door natuurlijk verloop van de oudste deelnemers.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Als Van Doorn kiest tegen eerbiedigende werking, mét leeftijdsafhankelijke compensatie:</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Rechtvaardiging: het compenseren van een aantoonbaar, actuarieel onderbouwd nadeel voor oudere deelnemers (deel 7 en 11, de concrete rekensom voor Karel).</w:t>
      </w:r>
    </w:p>
    <w:p>
      <w:pPr>
        <w:pStyle w:val="ListParagraph"/>
        <w:numPr>
          <w:ilvl w:val="0"/>
          <w:numId w:val="1"/>
        </w:numPr>
        <w:spacing w:after="80"/>
      </w:pPr>
      <w:r>
        <w:rPr>
          <w:rFonts w:ascii="Calibri" w:cs="Calibri" w:eastAsia="Calibri" w:hAnsi="Calibri"/>
          <w:sz w:val="22"/>
          <w:szCs w:val="22"/>
        </w:rPr>
        <w:t xml:space="preserve">Sterk punt: de rechtvaardiging is directer gekoppeld aan een concreet, aantoonbaar nadeel (het uitgerekende verschil van € 2.595 per jaar) dan bij eerbiediging, waar de rechtvaardiging generieker is.</w:t>
      </w:r>
    </w:p>
    <w:p>
      <w:pPr>
        <w:pStyle w:val="ListParagraph"/>
        <w:numPr>
          <w:ilvl w:val="0"/>
          <w:numId w:val="1"/>
        </w:numPr>
        <w:spacing w:after="80"/>
      </w:pPr>
      <w:r>
        <w:rPr>
          <w:rFonts w:ascii="Calibri" w:cs="Calibri" w:eastAsia="Calibri" w:hAnsi="Calibri"/>
          <w:sz w:val="22"/>
          <w:szCs w:val="22"/>
        </w:rPr>
        <w:t xml:space="preserve">Aandachtspunt: de compensatie moet, om aan de noodzakelijkheidstoets te voldoen, aantoonbaar zijn afgestemd op het werkelijke nadeel — een vlak compensatiepercentage voor een hele leeftijdsgroep zonder differentiatie (zoals afgekeurd in deel 7, opdracht 7.3) is hier dus niet alleen inhoudelijk zwak maar ook juridisch kwetsbaarder.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Conclusie voor het advies.</w:t>
      </w:r>
      <w:r>
        <w:rPr>
          <w:rFonts w:ascii="Calibri" w:cs="Calibri" w:eastAsia="Calibri" w:hAnsi="Calibri"/>
          <w:b w:val="false"/>
          <w:bCs w:val="false"/>
          <w:i w:val="false"/>
          <w:iCs w:val="false"/>
          <w:sz w:val="22"/>
          <w:szCs w:val="22"/>
        </w:rPr>
        <w:t xml:space="preserve"> Geen van beide routes is juridisch “veiliger” in absolute zin; beide vragen een zorgvuldig gedocumenteerde, op de concrete situatie toegesneden rechtvaardiging. Wat wél verschilt, is welk type argument voorhanden is: bij eerbiediging een generiek continuïteitsargument, bij compensatie een specifiek, cijfermatig onderbouwd nadeelargument. Voor Van Doorns gemengde bestand met zowel Karel als Yasmin weegt dit mee in de eindafweging die in deel 15 en 21 al werd gemaakt — en geeft er nu een juridische onderbouwing bij.</w:t>
      </w:r>
    </w:p>
    <w:p>
      <w:pPr>
        <w:spacing w:after="100"/>
      </w:pPr>
    </w:p>
    <w:p>
      <w:pPr>
        <w:pStyle w:val="Heading2"/>
        <w:spacing w:after="120" w:before="200"/>
      </w:pPr>
      <w:r>
        <w:rPr>
          <w:rFonts w:ascii="Georgia" w:cs="Georgia" w:eastAsia="Georgia" w:hAnsi="Georgia"/>
          <w:b/>
          <w:bCs/>
          <w:color w:val="2563A8"/>
          <w:sz w:val="28"/>
          <w:szCs w:val="28"/>
        </w:rPr>
        <w:t xml:space="preserve">23.9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Indirect leeftijdsonderscheid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Onderscheid dat niet direct naar leeftijd verwijst maar er feitelijk op neerkomt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Cohort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deelnemers met een gemeenschappelijk, tijdgebonden regelingskenmerk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Houdbaarheid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mate waarin een rechtvaardiging overeind blijft naarmate de tijd verstrijkt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Cohortvermenging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ontstaan van nieuwe, naast elkaar bestaande groepen door fusie of overname</w:t>
            </w:r>
          </w:p>
        </w:tc>
      </w:tr>
    </w:tbl>
    <w:p>
      <w:pPr>
        <w:spacing w:after="100"/>
      </w:pPr>
    </w:p>
    <w:p>
      <w:pPr>
        <w:pStyle w:val="Heading2"/>
        <w:spacing w:after="120" w:before="200"/>
      </w:pPr>
      <w:r>
        <w:rPr>
          <w:rFonts w:ascii="Georgia" w:cs="Georgia" w:eastAsia="Georgia" w:hAnsi="Georgia"/>
          <w:b/>
          <w:bCs/>
          <w:color w:val="2563A8"/>
          <w:sz w:val="28"/>
          <w:szCs w:val="28"/>
        </w:rPr>
        <w:t xml:space="preserve">23.10 Samenvatting</w:t>
      </w:r>
    </w:p>
    <w:p>
      <w:pPr>
        <w:pStyle w:val="ListParagraph"/>
        <w:numPr>
          <w:ilvl w:val="0"/>
          <w:numId w:val="1"/>
        </w:numPr>
        <w:spacing w:after="80"/>
      </w:pPr>
      <w:r>
        <w:rPr>
          <w:rFonts w:ascii="Calibri" w:cs="Calibri" w:eastAsia="Calibri" w:hAnsi="Calibri"/>
          <w:sz w:val="22"/>
          <w:szCs w:val="22"/>
        </w:rPr>
        <w:t xml:space="preserve">Eerbiedigende werking van de progressieve premie is zelf leeftijdsonderscheid, zoals de wetgever in de memorie van toelichting erkent.</w:t>
      </w:r>
    </w:p>
    <w:p>
      <w:pPr>
        <w:pStyle w:val="ListParagraph"/>
        <w:numPr>
          <w:ilvl w:val="0"/>
          <w:numId w:val="1"/>
        </w:numPr>
        <w:spacing w:after="80"/>
      </w:pPr>
      <w:r>
        <w:rPr>
          <w:rFonts w:ascii="Calibri" w:cs="Calibri" w:eastAsia="Calibri" w:hAnsi="Calibri"/>
          <w:sz w:val="22"/>
          <w:szCs w:val="22"/>
        </w:rPr>
        <w:t xml:space="preserve">De aangedragen rechtvaardiging steunt op actuariële continuïteit: gelijke opbouw per premie-euro binnen een cohort.</w:t>
      </w:r>
    </w:p>
    <w:p>
      <w:pPr>
        <w:pStyle w:val="ListParagraph"/>
        <w:numPr>
          <w:ilvl w:val="0"/>
          <w:numId w:val="1"/>
        </w:numPr>
        <w:spacing w:after="80"/>
      </w:pPr>
      <w:r>
        <w:rPr>
          <w:rFonts w:ascii="Calibri" w:cs="Calibri" w:eastAsia="Calibri" w:hAnsi="Calibri"/>
          <w:sz w:val="22"/>
          <w:szCs w:val="22"/>
        </w:rPr>
        <w:t xml:space="preserve">Géén eerbiediging, met leeftijdsafhankelijke compensatie, levert eveneens te rechtvaardigen onderscheid op — er is geen onderscheidsvrije route.</w:t>
      </w:r>
    </w:p>
    <w:p>
      <w:pPr>
        <w:pStyle w:val="ListParagraph"/>
        <w:numPr>
          <w:ilvl w:val="0"/>
          <w:numId w:val="1"/>
        </w:numPr>
        <w:spacing w:after="80"/>
      </w:pPr>
      <w:r>
        <w:rPr>
          <w:rFonts w:ascii="Calibri" w:cs="Calibri" w:eastAsia="Calibri" w:hAnsi="Calibri"/>
          <w:sz w:val="22"/>
          <w:szCs w:val="22"/>
        </w:rPr>
        <w:t xml:space="preserve">De rechtvaardiging is niet blijvend automatisch houdbaar; naarmate de tijd verstrijkt en de gesloten groep van samenstelling verandert, verdient zij herbeoordeling.</w:t>
      </w:r>
    </w:p>
    <w:p>
      <w:pPr>
        <w:pStyle w:val="ListParagraph"/>
        <w:numPr>
          <w:ilvl w:val="0"/>
          <w:numId w:val="1"/>
        </w:numPr>
        <w:spacing w:after="80"/>
      </w:pPr>
      <w:r>
        <w:rPr>
          <w:rFonts w:ascii="Calibri" w:cs="Calibri" w:eastAsia="Calibri" w:hAnsi="Calibri"/>
          <w:sz w:val="22"/>
          <w:szCs w:val="22"/>
        </w:rPr>
        <w:t xml:space="preserve">Elke fusie of overname die cohorten samenbrengt, voegt een nieuwe laag toe die opnieuw moet worden getoetst.</w:t>
      </w:r>
    </w:p>
    <w:p>
      <w:pPr>
        <w:pStyle w:val="ListParagraph"/>
        <w:numPr>
          <w:ilvl w:val="0"/>
          <w:numId w:val="1"/>
        </w:numPr>
        <w:spacing w:after="80"/>
      </w:pPr>
      <w:r>
        <w:rPr>
          <w:rFonts w:ascii="Calibri" w:cs="Calibri" w:eastAsia="Calibri" w:hAnsi="Calibri"/>
          <w:sz w:val="22"/>
          <w:szCs w:val="22"/>
        </w:rPr>
        <w:t xml:space="preserve">Voor Van Doorn is geen van beide routes juridisch vrij van risico; de aard van het beschikbare argument verschilt per route.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24.</w:t>
      </w:r>
      <w:r>
        <w:rPr>
          <w:rFonts w:ascii="Calibri" w:cs="Calibri" w:eastAsia="Calibri" w:hAnsi="Calibri"/>
          <w:b w:val="false"/>
          <w:bCs w:val="false"/>
          <w:i w:val="false"/>
          <w:iCs w:val="false"/>
          <w:sz w:val="22"/>
          <w:szCs w:val="22"/>
        </w:rPr>
        <w:t xml:space="preserve"> Dit deel behandelde de juridische rechtvaardiging van onderscheid tussen cohorten bij een verzekerde regeling. Deel 24 past exact dezelfde onderliggende logica toe op de fondsenwereld: de evenwichtige belangenafweging bij compensatie en invaren (deel 7 en 16), nu met de diepgaande rekenmethodiek en jurisprudentie die aantoont dat ook daar “gelijke behandeling” nooit een kwestie van 0%-uitkomsten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2026-08-17T11:22:45.819Z</dcterms:created>
  <dcterms:modified xsi:type="dcterms:W3CDTF">2026-08-17T11:22:45.819Z</dcterms:modified>
</cp:coreProperties>
</file>

<file path=docProps/custom.xml><?xml version="1.0" encoding="utf-8"?>
<Properties xmlns="http://schemas.openxmlformats.org/officeDocument/2006/custom-properties" xmlns:vt="http://schemas.openxmlformats.org/officeDocument/2006/docPropsVTypes"/>
</file>