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23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23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23.1 — Waarom is dit leeftijdsonderscheid?</w:t>
      </w:r>
    </w:p>
    <w:p>
      <w:pPr>
        <w:spacing w:after="140" w:line="300"/>
      </w:pPr>
      <w:r>
        <w:rPr>
          <w:rFonts w:ascii="Calibri" w:cs="Calibri" w:eastAsia="Calibri" w:hAnsi="Calibri"/>
          <w:b w:val="false"/>
          <w:bCs w:val="false"/>
          <w:i w:val="false"/>
          <w:iCs w:val="false"/>
          <w:sz w:val="22"/>
          <w:szCs w:val="22"/>
        </w:rPr>
        <w:t xml:space="preserve">Leg in eigen woorden, zonder de reader erbij te pakken, uit waarom eerbiedigende werking van de progressieve premie leeftijdsonderscheid oplevert, ook al is “leeftijd” niet het formele criterium waarop wordt onderscheiden.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Het formele criterium is het moment van indiensttreding ten opzichte van de omzettingsdatum, niet leeftijd zelf. Maar dat criterium correleert sterk met leeftijd (oudere, langer zittende werknemers vallen doorgaans in de gesloten groep) en het gevolg — een structureel andere premie-inleg voor vergelijkbare functies — is precies het soort effect dat leeftijdsonderscheid beoogt te voorkomen. Vandaar de kwalificatie als indirect onderscheid: niet het criterium zelf, maar het effect ervan, is leeftijdsgerelateerd.</w:t>
            </w:r>
          </w:p>
        </w:tc>
      </w:tr>
    </w:tbl>
    <w:p>
      <w:pPr>
        <w:spacing w:after="100"/>
      </w:pPr>
    </w:p>
    <w:p>
      <w:pPr>
        <w:pStyle w:val="Heading2"/>
        <w:spacing w:after="120" w:before="200"/>
      </w:pPr>
      <w:r>
        <w:rPr>
          <w:rFonts w:ascii="Georgia" w:cs="Georgia" w:eastAsia="Georgia" w:hAnsi="Georgia"/>
          <w:b/>
          <w:bCs/>
          <w:color w:val="2563A8"/>
          <w:sz w:val="28"/>
          <w:szCs w:val="28"/>
        </w:rPr>
        <w:t xml:space="preserve">Opdracht 23.2 — De rechtvaardiging reproduceren</w:t>
      </w:r>
    </w:p>
    <w:p>
      <w:pPr>
        <w:spacing w:after="140" w:line="300"/>
      </w:pPr>
      <w:r>
        <w:rPr>
          <w:rFonts w:ascii="Calibri" w:cs="Calibri" w:eastAsia="Calibri" w:hAnsi="Calibri"/>
          <w:b w:val="false"/>
          <w:bCs w:val="false"/>
          <w:i w:val="false"/>
          <w:iCs w:val="false"/>
          <w:sz w:val="22"/>
          <w:szCs w:val="22"/>
        </w:rPr>
        <w:t xml:space="preserve">Herhaal, zonder de reader erbij te pakken, het argument dat de wetgever aandraagt voor de rechtvaardiging van eerbiedigende werking, en pas de driestappentoets uit deel 22 erop toe.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Argument: voor elk cohort is, bij gelijke salarissen en omstandigheden, eenzelfde pensioenuitkomst per premie-euro te verwachten — de staffel is dus een actuariële vertaling van een gelijkheidsbeginsel, niet een willekeurig onderscheid.</w:t>
            </w:r>
          </w:p>
        </w:tc>
      </w:tr>
    </w:tbl>
    <w:p>
      <w:pPr>
        <w:spacing w:after="140" w:line="300"/>
      </w:pPr>
      <w:r>
        <w:rPr>
          <w:rFonts w:ascii="Calibri" w:cs="Calibri" w:eastAsia="Calibri" w:hAnsi="Calibri"/>
          <w:b w:val="false"/>
          <w:bCs w:val="false"/>
          <w:i w:val="false"/>
          <w:iCs w:val="false"/>
          <w:sz w:val="22"/>
          <w:szCs w:val="22"/>
        </w:rPr>
        <w:t xml:space="preserve">Toets: </w:t>
      </w:r>
      <w:r>
        <w:rPr>
          <w:rFonts w:ascii="Calibri" w:cs="Calibri" w:eastAsia="Calibri" w:hAnsi="Calibri"/>
          <w:b/>
          <w:bCs/>
          <w:i w:val="false"/>
          <w:iCs w:val="false"/>
          <w:sz w:val="22"/>
          <w:szCs w:val="22"/>
        </w:rPr>
        <w:t xml:space="preserve">legitiem doel</w:t>
      </w:r>
      <w:r>
        <w:rPr>
          <w:rFonts w:ascii="Calibri" w:cs="Calibri" w:eastAsia="Calibri" w:hAnsi="Calibri"/>
          <w:b w:val="false"/>
          <w:bCs w:val="false"/>
          <w:i w:val="false"/>
          <w:iCs w:val="false"/>
          <w:sz w:val="22"/>
          <w:szCs w:val="22"/>
        </w:rPr>
        <w:t xml:space="preserve"> — bescherming van continuïteit en van deelnemers met weinig aanpassingstijd. </w:t>
      </w:r>
      <w:r>
        <w:rPr>
          <w:rFonts w:ascii="Calibri" w:cs="Calibri" w:eastAsia="Calibri" w:hAnsi="Calibri"/>
          <w:b/>
          <w:bCs/>
          <w:i w:val="false"/>
          <w:iCs w:val="false"/>
          <w:sz w:val="22"/>
          <w:szCs w:val="22"/>
        </w:rPr>
        <w:t xml:space="preserve">Passend middel</w:t>
      </w:r>
      <w:r>
        <w:rPr>
          <w:rFonts w:ascii="Calibri" w:cs="Calibri" w:eastAsia="Calibri" w:hAnsi="Calibri"/>
          <w:b w:val="false"/>
          <w:bCs w:val="false"/>
          <w:i w:val="false"/>
          <w:iCs w:val="false"/>
          <w:sz w:val="22"/>
          <w:szCs w:val="22"/>
        </w:rPr>
        <w:t xml:space="preserve"> — het voortzetten van de bestaande systematiek voor precies die groep sluit direct op dat doel aan. </w:t>
      </w:r>
      <w:r>
        <w:rPr>
          <w:rFonts w:ascii="Calibri" w:cs="Calibri" w:eastAsia="Calibri" w:hAnsi="Calibri"/>
          <w:b/>
          <w:bCs/>
          <w:i w:val="false"/>
          <w:iCs w:val="false"/>
          <w:sz w:val="22"/>
          <w:szCs w:val="22"/>
        </w:rPr>
        <w:t xml:space="preserve">Noodzakelijk middel</w:t>
      </w:r>
      <w:r>
        <w:rPr>
          <w:rFonts w:ascii="Calibri" w:cs="Calibri" w:eastAsia="Calibri" w:hAnsi="Calibri"/>
          <w:b w:val="false"/>
          <w:bCs w:val="false"/>
          <w:i w:val="false"/>
          <w:iCs w:val="false"/>
          <w:sz w:val="22"/>
          <w:szCs w:val="22"/>
        </w:rPr>
        <w:t xml:space="preserve"> — dit is het meest betwistbare punt: is er geen alternatief (bijvoorbeeld generieke compensatie in plaats van staffelvoortzetting) dat minder onderscheid meebrengt?</w:t>
      </w:r>
    </w:p>
    <w:p>
      <w:pPr>
        <w:spacing w:after="100"/>
      </w:pPr>
    </w:p>
    <w:p>
      <w:pPr>
        <w:pStyle w:val="Heading2"/>
        <w:spacing w:after="120" w:before="200"/>
      </w:pPr>
      <w:r>
        <w:rPr>
          <w:rFonts w:ascii="Georgia" w:cs="Georgia" w:eastAsia="Georgia" w:hAnsi="Georgia"/>
          <w:b/>
          <w:bCs/>
          <w:color w:val="2563A8"/>
          <w:sz w:val="28"/>
          <w:szCs w:val="28"/>
        </w:rPr>
        <w:t xml:space="preserve">Opdracht 23.3 — Geen route is vrij van onderscheid</w:t>
      </w:r>
    </w:p>
    <w:p>
      <w:pPr>
        <w:spacing w:after="140" w:line="300"/>
      </w:pPr>
      <w:r>
        <w:rPr>
          <w:rFonts w:ascii="Calibri" w:cs="Calibri" w:eastAsia="Calibri" w:hAnsi="Calibri"/>
          <w:b w:val="false"/>
          <w:bCs w:val="false"/>
          <w:i w:val="false"/>
          <w:iCs w:val="false"/>
          <w:sz w:val="22"/>
          <w:szCs w:val="22"/>
        </w:rPr>
        <w:t xml:space="preserve">Een adviseur zegt tegen een werkgever: “Als we de staffel afschaffen en iedereen dezelfde premie geven, hebben we in ieder geval geen discriminatieprobleem meer.”</w:t>
      </w:r>
    </w:p>
    <w:p>
      <w:pPr>
        <w:spacing w:after="140" w:line="300"/>
      </w:pPr>
      <w:r>
        <w:rPr>
          <w:rFonts w:ascii="Calibri" w:cs="Calibri" w:eastAsia="Calibri" w:hAnsi="Calibri"/>
          <w:b w:val="false"/>
          <w:bCs w:val="false"/>
          <w:i w:val="false"/>
          <w:iCs w:val="false"/>
          <w:sz w:val="22"/>
          <w:szCs w:val="22"/>
        </w:rPr>
        <w:t xml:space="preserve">a. Wat is er onjuist aan deze uitspraak?</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correcte formulering?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uitspraak is onjuist: zodra compensatie voor de oudere groep wordt toegekend (wat in de praktijk vrijwel altijd gebeurt, deel 7), is die compensatie zelf leeftijdsafhankelijk en dus zelf te rechtvaardigen onderscheid — het probleem is niet weg, het is verplaatst.</w:t>
      </w:r>
    </w:p>
    <w:p>
      <w:pPr>
        <w:spacing w:after="140" w:line="300"/>
      </w:pPr>
      <w:r>
        <w:rPr>
          <w:rFonts w:ascii="Calibri" w:cs="Calibri" w:eastAsia="Calibri" w:hAnsi="Calibri"/>
          <w:b w:val="false"/>
          <w:bCs w:val="false"/>
          <w:i w:val="false"/>
          <w:iCs w:val="false"/>
          <w:sz w:val="22"/>
          <w:szCs w:val="22"/>
        </w:rPr>
        <w:t xml:space="preserve">b. “Als we de staffel afschaffen, verdwijnt dát specifieke onderscheid, maar de compensatie die daarvoor in de plaats komt, brengt een eigen vorm van leeftijdsonderscheid mee die we ook moeten kunnen rechtvaardigen.”</w:t>
      </w:r>
    </w:p>
    <w:p>
      <w:pPr>
        <w:spacing w:after="100"/>
      </w:pPr>
    </w:p>
    <w:p>
      <w:pPr>
        <w:pStyle w:val="Heading2"/>
        <w:spacing w:after="120" w:before="200"/>
      </w:pPr>
      <w:r>
        <w:rPr>
          <w:rFonts w:ascii="Georgia" w:cs="Georgia" w:eastAsia="Georgia" w:hAnsi="Georgia"/>
          <w:b/>
          <w:bCs/>
          <w:color w:val="2563A8"/>
          <w:sz w:val="28"/>
          <w:szCs w:val="28"/>
        </w:rPr>
        <w:t xml:space="preserve">Opdracht 23.4 — Houdbaarheid inschatten</w:t>
      </w:r>
    </w:p>
    <w:p>
      <w:pPr>
        <w:spacing w:after="140" w:line="300"/>
      </w:pPr>
      <w:r>
        <w:rPr>
          <w:rFonts w:ascii="Calibri" w:cs="Calibri" w:eastAsia="Calibri" w:hAnsi="Calibri"/>
          <w:b w:val="false"/>
          <w:bCs w:val="false"/>
          <w:i w:val="false"/>
          <w:iCs w:val="false"/>
          <w:sz w:val="22"/>
          <w:szCs w:val="22"/>
        </w:rPr>
        <w:t xml:space="preserve">Van Doorn kiest in 2027 voor eerbiedigende werking. Beoordeel de houdbaarheid van de rechtvaardiging op de volgende momenten.</w:t>
      </w:r>
    </w:p>
    <w:p>
      <w:pPr>
        <w:spacing w:after="140" w:line="300"/>
      </w:pPr>
      <w:r>
        <w:rPr>
          <w:rFonts w:ascii="Calibri" w:cs="Calibri" w:eastAsia="Calibri" w:hAnsi="Calibri"/>
          <w:b w:val="false"/>
          <w:bCs w:val="false"/>
          <w:i w:val="false"/>
          <w:iCs w:val="false"/>
          <w:sz w:val="22"/>
          <w:szCs w:val="22"/>
        </w:rPr>
        <w:t xml:space="preserve">a. 2028, één jaar na omzetting.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2042, vijftien jaar later — Karel is inmiddels gepensioneerd, Yasmin (destijds 26) is nu 41 en nog steeds in de gesloten groep.</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2057, dertig jaar later — een geheel nieuwe generatie werknemers zit inmiddels in de gesloten groep, van wie sommigen op het omzetmoment net waren begonnen.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Sterk — de rechtvaardiging (bescherming van deelnemers met weinig aanpassingstijd) is actueel en direct van toepassing op het bestand zoals het was.</w:t>
      </w:r>
    </w:p>
    <w:p>
      <w:pPr>
        <w:spacing w:after="140" w:line="300"/>
      </w:pPr>
      <w:r>
        <w:rPr>
          <w:rFonts w:ascii="Calibri" w:cs="Calibri" w:eastAsia="Calibri" w:hAnsi="Calibri"/>
          <w:b w:val="false"/>
          <w:bCs w:val="false"/>
          <w:i w:val="false"/>
          <w:iCs w:val="false"/>
          <w:sz w:val="22"/>
          <w:szCs w:val="22"/>
        </w:rPr>
        <w:t xml:space="preserve">b. Zwakker voor het deel van de groep dat, zoals Yasmin, al vijftien jaar in de gesloten groep zit zonder de bescherming waarvoor de regeling was bedoeld (korte aanpassingstijd) daadwerkelijk nodig te hebben gehad — al kan het argument voor de dan-oudere leden van de oorspronkelijke groep nog steeds gelden.</w:t>
      </w:r>
    </w:p>
    <w:p>
      <w:pPr>
        <w:spacing w:after="140" w:line="300"/>
      </w:pPr>
      <w:r>
        <w:rPr>
          <w:rFonts w:ascii="Calibri" w:cs="Calibri" w:eastAsia="Calibri" w:hAnsi="Calibri"/>
          <w:b w:val="false"/>
          <w:bCs w:val="false"/>
          <w:i w:val="false"/>
          <w:iCs w:val="false"/>
          <w:sz w:val="22"/>
          <w:szCs w:val="22"/>
        </w:rPr>
        <w:t xml:space="preserve">c. Aanzienlijk zwakker in zijn algemeenheid: een generatie die op het omzetmoment nog volop aan het begin van haar loopbaan stond, valt moeilijk te rechtvaardigen als “beschermingsbehoevend” op grond van weinig aanpassingstijd. Dit is het moment waarop een juridische herbeoordeling het hardst nodig is.</w:t>
      </w:r>
    </w:p>
    <w:p>
      <w:pPr>
        <w:spacing w:after="100"/>
      </w:pPr>
    </w:p>
    <w:p>
      <w:pPr>
        <w:pStyle w:val="Heading2"/>
        <w:spacing w:after="120" w:before="200"/>
      </w:pPr>
      <w:r>
        <w:rPr>
          <w:rFonts w:ascii="Georgia" w:cs="Georgia" w:eastAsia="Georgia" w:hAnsi="Georgia"/>
          <w:b/>
          <w:bCs/>
          <w:color w:val="2563A8"/>
          <w:sz w:val="28"/>
          <w:szCs w:val="28"/>
        </w:rPr>
        <w:t xml:space="preserve">Opdracht 23.5 — Cohortvermenging bij Van Doorn</w:t>
      </w:r>
    </w:p>
    <w:p>
      <w:pPr>
        <w:spacing w:after="140" w:line="300"/>
      </w:pPr>
      <w:r>
        <w:rPr>
          <w:rFonts w:ascii="Calibri" w:cs="Calibri" w:eastAsia="Calibri" w:hAnsi="Calibri"/>
          <w:b w:val="false"/>
          <w:bCs w:val="false"/>
          <w:i w:val="false"/>
          <w:iCs w:val="false"/>
          <w:sz w:val="22"/>
          <w:szCs w:val="22"/>
        </w:rPr>
        <w:t xml:space="preserve">Terug naar deel 6, opdracht 6.5: Van Doorn neemt Kramer over. Kramer heeft een eigen, vlakke premieregeling sinds 2026. Beoordeel wat er met de gelijkebehandelingsrisico’s gebeurt na deze overname.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Vóór de overname had Van Doorn twee cohorten: de gesloten, progressieve groep (onder eerbiedigende werking) en de nieuwe, vlakke-premie-instroom. Na de overname komt daar een derde cohort bij: de overgenomen Kramer-medewerkers, die hun eigen, andere vlakke premie behouden (van rechtswege, deel 6). Drie cohorten naast elkaar vergroot de kans dat vergelijkbare functies bij Van Doorn onder drie verschillende premieregimes vallen, wat het aantal potentiële vergelijkingsgevallen — en daarmee het aantal punten waarop de gezamenlijke onderbouwing kwetsbaar kan zijn — vermenigvuldigt. Advies: harmonisatie na de overname niet uitstellen, en de onderbouwing van elk resterend onderscheid expliciet actualiseren op het moment van de overname, niet pas wanneer er een klacht komt.</w:t>
            </w:r>
          </w:p>
        </w:tc>
      </w:tr>
    </w:tbl>
    <w:p>
      <w:pPr>
        <w:spacing w:after="100"/>
      </w:pPr>
    </w:p>
    <w:p>
      <w:pPr>
        <w:pStyle w:val="Heading2"/>
        <w:spacing w:after="120" w:before="200"/>
      </w:pPr>
      <w:r>
        <w:rPr>
          <w:rFonts w:ascii="Georgia" w:cs="Georgia" w:eastAsia="Georgia" w:hAnsi="Georgia"/>
          <w:b/>
          <w:bCs/>
          <w:color w:val="2563A8"/>
          <w:sz w:val="28"/>
          <w:szCs w:val="28"/>
        </w:rPr>
        <w:t xml:space="preserve">Opdracht 23.6 — De houdbaarheidstoets toepassen op beide routes</w:t>
      </w:r>
    </w:p>
    <w:p>
      <w:pPr>
        <w:spacing w:after="140" w:line="300"/>
      </w:pPr>
      <w:r>
        <w:rPr>
          <w:rFonts w:ascii="Calibri" w:cs="Calibri" w:eastAsia="Calibri" w:hAnsi="Calibri"/>
          <w:b w:val="false"/>
          <w:bCs w:val="false"/>
          <w:i w:val="false"/>
          <w:iCs w:val="false"/>
          <w:sz w:val="22"/>
          <w:szCs w:val="22"/>
        </w:rPr>
        <w:t xml:space="preserve">Vergelijk voor Van Doorn de twee routes (eerbiedigende werking versus vlakke premie met compensatie) op het punt van de aard van het beschikbare rechtvaardigingsargument. Welke route levert een argument op dat makkelijker “cijfermatig hard te maken” is, en welke een argument dat meer op een algemeen beginsel steunt?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route zonder eerbiediging, mét compensatie, levert het cijfermatig hardere argument op: het aantoonbare, uitgerekende nadeel van bijvoorbeeld Karel (€ 2.595 per jaar, deel 11) rechtvaardigt een specifiek, te herleiden compensatiebedrag. De route mét eerbiediging steunt op een generieker beginsel (continuïteit, bescherming van weinig-aanpassingstijd) dat minder direct in cijfers is uit te drukken en daardoor, naarmate de tijd verstrijkt (opdracht 23.4), lastiger opnieuw hard te maken is.</w:t>
            </w:r>
          </w:p>
        </w:tc>
      </w:tr>
    </w:tbl>
    <w:p>
      <w:pPr>
        <w:spacing w:after="100"/>
      </w:pPr>
    </w:p>
    <w:p>
      <w:pPr>
        <w:pStyle w:val="Heading2"/>
        <w:spacing w:after="120" w:before="200"/>
      </w:pPr>
      <w:r>
        <w:rPr>
          <w:rFonts w:ascii="Georgia" w:cs="Georgia" w:eastAsia="Georgia" w:hAnsi="Georgia"/>
          <w:b/>
          <w:bCs/>
          <w:color w:val="2563A8"/>
          <w:sz w:val="28"/>
          <w:szCs w:val="28"/>
        </w:rPr>
        <w:t xml:space="preserve">Opdracht 23.7 — Advies voor Van Doorn, juridisch aangescherpt</w:t>
      </w:r>
    </w:p>
    <w:p>
      <w:pPr>
        <w:spacing w:after="140" w:line="300"/>
      </w:pPr>
      <w:r>
        <w:rPr>
          <w:rFonts w:ascii="Calibri" w:cs="Calibri" w:eastAsia="Calibri" w:hAnsi="Calibri"/>
          <w:b w:val="false"/>
          <w:bCs w:val="false"/>
          <w:i w:val="false"/>
          <w:iCs w:val="false"/>
          <w:sz w:val="22"/>
          <w:szCs w:val="22"/>
        </w:rPr>
        <w:t xml:space="preserve">Vul de beslisnotitie uit deel 15 en 21 (Route A/B, eerbiedigende werking ja/nee) aan met een juridische paragraaf van maximaal een half A4 waarin je: (1) het onderscheid van de gekozen route benoemt, (2) de driestappentoets kort toepast, en (3) een aanbeveling doet over documentatie voor de lange termijn.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beide routes worden op onderscheid getoetst, niet alleen de niet-gekozen route; de driestappentoets wordt met de drie stappen benoemd, niet alleen met een eindconclusie; en de documentatie-aanbeveling bevat een concreet, herhaalbaar moment (bijvoorbeeld: bij elke overname, en elke tien jaar, de rechtvaardiging herbeoordelen) in plaats van een vage aanmaning tot “goed vastleggen”.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2026-08-17T11:22:45.839Z</dcterms:created>
  <dcterms:modified xsi:type="dcterms:W3CDTF">2026-08-17T11:22:45.839Z</dcterms:modified>
</cp:coreProperties>
</file>

<file path=docProps/custom.xml><?xml version="1.0" encoding="utf-8"?>
<Properties xmlns="http://schemas.openxmlformats.org/officeDocument/2006/custom-properties" xmlns:vt="http://schemas.openxmlformats.org/officeDocument/2006/docPropsVTypes"/>
</file>