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4213D"/>
          <w:sz w:val="44"/>
          <w:szCs w:val="44"/>
        </w:rPr>
        <w:t xml:space="preserve">Docentenhandleiding — Deel 24 — Docentenhandleiding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563A8"/>
          <w:sz w:val="22"/>
          <w:szCs w:val="22"/>
        </w:rPr>
        <w:t xml:space="preserve">Niveau 3 — Expert · Nederlandse pensioenverzekering</w:t>
      </w:r>
    </w:p>
    <w:p>
      <w:pPr>
        <w:pStyle w:val="Heading1"/>
        <w:pBdr>
          <w:bottom w:val="single" w:color="14213D" w:sz="12" w:space="4"/>
        </w:pBdr>
        <w:spacing w:after="160" w:before="240"/>
      </w:pPr>
      <w:r>
        <w:rPr>
          <w:rFonts w:ascii="Georgia" w:cs="Georgia" w:eastAsia="Georgia" w:hAnsi="Georgia"/>
          <w:b/>
          <w:bCs/>
          <w:color w:val="14213D"/>
          <w:sz w:val="36"/>
          <w:szCs w:val="36"/>
        </w:rPr>
        <w:t xml:space="preserve">Deel 24 — Docentenhandleiding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Niveau 3 · Expert · Eén dagdeel (3 uur inclusief pauze)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Doel van dit dagdeel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Dit deel herhaalt de structuur van deel 23, nu toegepast op de fondsenwereld, en gebruikt daarbij een recente, goed gedocumenteerde uitspraak als ankerpunt. Twee dingen moeten landen: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1. Leeftijdsafhankelijke verdeling van een invaaroverschot kan objectief gerechtvaardigd zijn — met een concreet precedent dat laat zien hoe die rechtvaardiging eruitziet.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2. De kracht van de rechtvaardiging zit in de bestandspecifieke onderbouwing, niet in het volgen van de wettelijke default.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Tijdschema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Werkvorm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Terugblik deel 23, dezelfde vraag in de fondsenwereld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casus en de uitkomst, opdracht 24.1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argumentatiestructuur ontleed, opdracht 24.2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College, kern van het dagdeel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1:15–1:30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1:30–1:55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Terughoudende toets, opdracht 24.3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1:55–2:20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Bestandspecifieke onderbouwing, opdracht 24.4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Drietallen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parallel met deel 23, opdracht 24.5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2:40–3:00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Toepassing op Bpf T&amp;I, opdracht 24.6-24.8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Individueel, afsluiting</w:t>
            </w:r>
          </w:p>
        </w:tc>
      </w:tr>
    </w:tbl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Aandachtspunten per onderdeel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Openen.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Herhaal de kernzin uit deel 23: “geen route zonder te rechtvaardigen onderscheid.” Zeg: vandaag testen we of dezelfde logica standhoudt in de fondsenwereld, en we hebben er nu een concreet precedent bij.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 casus en de uitkomst.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Presenteer de casus zonder meteen de uitkomst te geven: een fonds verdeelt een overschot ongelijk tussen jong en oud bij invaren — is dat discriminatie? Laat de groep eerst zelf stemmen voordat je de uitkomst (geen discriminatie, mits gerechtvaardigd) onthult.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 argumentatiestructuur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Dit verdient de meeste tijd. Ontleed de twee argumenten (ouderen gaan er niet op achteruit maar profiteren direct; jongeren lopen langer risico) zorgvuldig, en laat zien hoe dit weer precies de driestappentoets volgt. Vraag de groep: is dit hetzelfde soort argument als het cohort-argument uit deel 23, of een ander soort argument? (Antwoord: verwant maar niet identiek — deel 23 steunt op continuïteit binnen een cohort, dit deel op een verschil in risicoduur. Beide zijn actuarieel geïnspireerde rechtvaardigingen, maar met een andere invalshoek.)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Terughoudende toets.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Bij opdracht 24.3: dit is dezelfde denkfout als bij OR-instemming in deel 22, nu op fondsniveau. Herhaal die parallel expliciet — het is een van de sterkste geheugensteunen van dit dagdeel.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Bestandspecifieke onderbouwing.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Bij opdracht 24.4: dit is het meest praktisch bruikbare inzicht van het dagdeel voor de adviespraktijk. Laat de groep het scherp formuleren: dezelfde uitkomst (tien jaar) kan met twee heel verschillende risiconiveaus tot stand zijn gekomen, afhankelijk van de onderbouwing erachter. Dit is een direct toepasbaar advies voor elk fondsbestuur.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 parallel met deel 23.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Bouw de tabel uit paragraaf 24.6 gezamenlijk verder op met opdracht 24.5. Dit visuele overzicht is het beste sluitstuk van het inhoudelijke deel van het dagdeel.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Toepassing op Bpf T&amp;I.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Laat opdracht 24.6, 24.7 en 24.8 achter elkaar individueel maken, als opbouw naar een steeds concretere synthese. Opdracht 24.7 is de meest verrassende: de link tussen Bpf T&amp;I’s eigen juridische robuustheid en Van Doorns positie via de gelijkwaardigheidstoets uit deel 4 — dit is een goed voorbeeld van hoe niveau 3 losse eerdere delen met elkaar verbindt op een manier die in niveau 1 en 2 nog niet zichtbaar was.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Veelgestelde vragen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“Is deze uitspraak specifiek voor dit ene fonds, of een algemene lijn?”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Zij is een concreet precedent voor een specifieke casus; de onderliggende redenering (risicoduur rechtvaardigt hogere toewijzing) is als argumentatiepatroon breder bruikbaar, maar elk fonds moet zijn eigen situatie opnieuw doorrekenen en onderbouwen — geen automatische overname van de uitkomst.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“Wat als een fonds geen overschot maar een tekort te verdelen heeft?”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Dezelfde redeneerstructuur is in beginsel toepasbaar, met een spiegelbeeldige vraag: rechtvaardigt het verschil in risicoduur ook een ongelijke verdeling van een tekort? Dit ligt gevoeliger en vergt eigen zorgvuldige onderbouwing — buiten het bestek van dit dagdeel, maar een goede vraag voor verdere zelfstudie.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“Hoe verhoudt dit zich tot de zeven compensatievragen uit deel 7?”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Direct — vraag 7 uit die lijst (“is de onderbouwing van de evenwichtigheid opgeschreven, of alleen de uitkomst”) is precies het punt dat in dit deel met een concreet precedent wordt onderbouwd: de opgeschreven onderbouwing is wat het verschil maakt tussen fonds A en fonds B in opdracht 24.4.</w:t>
      </w:r>
    </w:p>
    <w:p>
      <w:pPr>
        <w:spacing w:after="100"/>
      </w:pP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563A8"/>
          <w:sz w:val="28"/>
          <w:szCs w:val="28"/>
        </w:rPr>
        <w:t xml:space="preserve">Voorbereiding en materiaal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kernzin over bestandspecifieke onderbouwing groot op de flap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 vergelijkingstabel uit paragraaf 24.6, deels vooraf ingevuld, met ruimte voor opdracht 24.5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Een korte tijdlijn van het invaarproces (deel 16) als geheugensteun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Huiswerk: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opdracht 24.6, 24.7 en 24.8. Kondig deel 25 aan: de blik verlegt van Nederlands recht naar grensoverschrijdend pensioen en de Europese IORP II-richtlijn.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A8" w:sz="6" w:space="4"/>
      </w:pBdr>
      <w:jc w:val="right"/>
    </w:pPr>
    <w:r>
      <w:rPr>
        <w:rFonts w:ascii="Calibri" w:cs="Calibri" w:eastAsia="Calibri" w:hAnsi="Calibri"/>
        <w:color w:val="2563A8"/>
        <w:sz w:val="16"/>
        <w:szCs w:val="16"/>
      </w:rPr>
      <w:t xml:space="preserve">Nederlandse pensioenverzekering · Niveau 3 — Expert · Deel 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2026-08-17T11:22:45.922Z</dcterms:created>
  <dcterms:modified xsi:type="dcterms:W3CDTF">2026-08-17T11:22:45.922Z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