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24 — Compensatie en evenwichtige belangenafweging</w:t>
      </w:r>
    </w:p>
    <w:p>
      <w:pPr>
        <w:spacing w:after="300"/>
      </w:pPr>
      <w:r>
        <w:rPr>
          <w:rFonts w:ascii="Calibri" w:cs="Calibri" w:eastAsia="Calibri" w:hAnsi="Calibri"/>
          <w:i/>
          <w:iCs/>
          <w:color w:val="2563A8"/>
          <w:sz w:val="22"/>
          <w:szCs w:val="22"/>
        </w:rPr>
        <w:t xml:space="preserve">Niveau 3 — Expert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24 — Compensatie en evenwichtige belangenafweging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3 · Expert · Deelnemersreader</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24.1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de evenwichtige-belangenafweging bij invaren als toetsbare, in jurisprudentie uitgewerkte norm toepassen;</w:t>
      </w:r>
    </w:p>
    <w:p>
      <w:pPr>
        <w:pStyle w:val="ListParagraph"/>
        <w:numPr>
          <w:ilvl w:val="0"/>
          <w:numId w:val="1"/>
        </w:numPr>
        <w:spacing w:after="80"/>
      </w:pPr>
      <w:r>
        <w:rPr>
          <w:rFonts w:ascii="Calibri" w:cs="Calibri" w:eastAsia="Calibri" w:hAnsi="Calibri"/>
          <w:sz w:val="22"/>
          <w:szCs w:val="22"/>
        </w:rPr>
        <w:t xml:space="preserve">2. een recente uitspraak van het College voor de Rechten van de Mens over de spreidingstermijn bij invaren analyseren;</w:t>
      </w:r>
    </w:p>
    <w:p>
      <w:pPr>
        <w:pStyle w:val="ListParagraph"/>
        <w:numPr>
          <w:ilvl w:val="0"/>
          <w:numId w:val="1"/>
        </w:numPr>
        <w:spacing w:after="80"/>
      </w:pPr>
      <w:r>
        <w:rPr>
          <w:rFonts w:ascii="Calibri" w:cs="Calibri" w:eastAsia="Calibri" w:hAnsi="Calibri"/>
          <w:sz w:val="22"/>
          <w:szCs w:val="22"/>
        </w:rPr>
        <w:t xml:space="preserve">3. de “terughoudende toets” bij afspraken van sociale partners plaatsen en de grenzen ervan aangeven;</w:t>
      </w:r>
    </w:p>
    <w:p>
      <w:pPr>
        <w:pStyle w:val="ListParagraph"/>
        <w:numPr>
          <w:ilvl w:val="0"/>
          <w:numId w:val="1"/>
        </w:numPr>
        <w:spacing w:after="80"/>
      </w:pPr>
      <w:r>
        <w:rPr>
          <w:rFonts w:ascii="Calibri" w:cs="Calibri" w:eastAsia="Calibri" w:hAnsi="Calibri"/>
          <w:sz w:val="22"/>
          <w:szCs w:val="22"/>
        </w:rPr>
        <w:t xml:space="preserve">4. de argumentatiestructuur (jongeren lopen langer risico, ouderen profiteren direct) toepassen op nieuwe casussen;</w:t>
      </w:r>
    </w:p>
    <w:p>
      <w:pPr>
        <w:pStyle w:val="ListParagraph"/>
        <w:numPr>
          <w:ilvl w:val="0"/>
          <w:numId w:val="1"/>
        </w:numPr>
        <w:spacing w:after="80"/>
      </w:pPr>
      <w:r>
        <w:rPr>
          <w:rFonts w:ascii="Calibri" w:cs="Calibri" w:eastAsia="Calibri" w:hAnsi="Calibri"/>
          <w:sz w:val="22"/>
          <w:szCs w:val="22"/>
        </w:rPr>
        <w:t xml:space="preserve">5. de parallel tussen deel 23 (verzekerd) en dit deel (fondsen) expliciet maken;</w:t>
      </w:r>
    </w:p>
    <w:p>
      <w:pPr>
        <w:pStyle w:val="ListParagraph"/>
        <w:numPr>
          <w:ilvl w:val="0"/>
          <w:numId w:val="1"/>
        </w:numPr>
        <w:spacing w:after="80"/>
      </w:pPr>
      <w:r>
        <w:rPr>
          <w:rFonts w:ascii="Calibri" w:cs="Calibri" w:eastAsia="Calibri" w:hAnsi="Calibri"/>
          <w:sz w:val="22"/>
          <w:szCs w:val="22"/>
        </w:rPr>
        <w:t xml:space="preserve">6. het invaarbesluit van Bpf T&amp;I juridisch beoordelen op dezelfde manier waarop in deel 23 Van Doorns keuze werd beoordeeld.</w:t>
      </w:r>
    </w:p>
    <w:p>
      <w:pPr>
        <w:spacing w:after="100"/>
      </w:pPr>
    </w:p>
    <w:p>
      <w:pPr>
        <w:pStyle w:val="Heading2"/>
        <w:spacing w:after="120" w:before="200"/>
      </w:pPr>
      <w:r>
        <w:rPr>
          <w:rFonts w:ascii="Georgia" w:cs="Georgia" w:eastAsia="Georgia" w:hAnsi="Georgia"/>
          <w:b/>
          <w:bCs/>
          <w:color w:val="2563A8"/>
          <w:sz w:val="28"/>
          <w:szCs w:val="28"/>
        </w:rPr>
        <w:t xml:space="preserve">24.2 Dezelfde vraag, andere wereld</w:t>
      </w:r>
    </w:p>
    <w:p>
      <w:pPr>
        <w:spacing w:after="140" w:line="300"/>
      </w:pPr>
      <w:r>
        <w:rPr>
          <w:rFonts w:ascii="Calibri" w:cs="Calibri" w:eastAsia="Calibri" w:hAnsi="Calibri"/>
          <w:b w:val="false"/>
          <w:bCs w:val="false"/>
          <w:i w:val="false"/>
          <w:iCs w:val="false"/>
          <w:sz w:val="22"/>
          <w:szCs w:val="22"/>
        </w:rPr>
        <w:t xml:space="preserve">Deel 23 liet zien dat elke keuze rond de progressieve staffel bij een verzekerde regeling leeftijdsonderscheid oplevert dat objectief gerechtvaardigd moet worden. Dit deel stelt precies dezelfde vraag voor de fondsenwereld: is de manier waarop een fonds bij invaren (deel 16) het collectieve vermogen verdeelt over leeftijdsgroepen, zelf te rechtvaardigen leeftijdsonderscheid?</w:t>
      </w:r>
    </w:p>
    <w:p>
      <w:pPr>
        <w:spacing w:after="140" w:line="300"/>
      </w:pPr>
      <w:r>
        <w:rPr>
          <w:rFonts w:ascii="Calibri" w:cs="Calibri" w:eastAsia="Calibri" w:hAnsi="Calibri"/>
          <w:b w:val="false"/>
          <w:bCs w:val="false"/>
          <w:i w:val="false"/>
          <w:iCs w:val="false"/>
          <w:sz w:val="22"/>
          <w:szCs w:val="22"/>
        </w:rPr>
        <w:t xml:space="preserve">Het antwoord blijkt, net als in deel 23, genuanceerder dan een simpel ja of nee — en een recente uitspraak van het College voor de Rechten van de Mens geeft een concreet, goed gedocumenteerd voorbeeld van hoe die toets in de praktijk uitpakt.</w:t>
      </w:r>
    </w:p>
    <w:p>
      <w:pPr>
        <w:spacing w:after="100"/>
      </w:pPr>
    </w:p>
    <w:p>
      <w:pPr>
        <w:pStyle w:val="Heading2"/>
        <w:spacing w:after="120" w:before="200"/>
      </w:pPr>
      <w:r>
        <w:rPr>
          <w:rFonts w:ascii="Georgia" w:cs="Georgia" w:eastAsia="Georgia" w:hAnsi="Georgia"/>
          <w:b/>
          <w:bCs/>
          <w:color w:val="2563A8"/>
          <w:sz w:val="28"/>
          <w:szCs w:val="28"/>
        </w:rPr>
        <w:t xml:space="preserve">24.3 De casus: de spreidingstermijn bij invaren</w:t>
      </w:r>
    </w:p>
    <w:p>
      <w:pPr>
        <w:spacing w:after="140" w:line="300"/>
      </w:pPr>
      <w:r>
        <w:rPr>
          <w:rFonts w:ascii="Calibri" w:cs="Calibri" w:eastAsia="Calibri" w:hAnsi="Calibri"/>
          <w:b w:val="false"/>
          <w:bCs w:val="false"/>
          <w:i w:val="false"/>
          <w:iCs w:val="false"/>
          <w:sz w:val="22"/>
          <w:szCs w:val="22"/>
        </w:rPr>
        <w:t xml:space="preserve">Terug naar deel 16: bij de standaardmethode wordt een tekort of overschot in de dekkingsgraad verdeeld via een spreidingstermijn, standaard tien jaar, met de mogelijkheid onderbouwd af te wijken. Een fonds met een overschot moet beslissen: hoe wordt dat overschot verdeeld tussen jongere en oudere deelnemers?</w:t>
      </w:r>
    </w:p>
    <w:p>
      <w:pPr>
        <w:spacing w:after="140" w:line="300"/>
      </w:pPr>
      <w:r>
        <w:rPr>
          <w:rFonts w:ascii="Calibri" w:cs="Calibri" w:eastAsia="Calibri" w:hAnsi="Calibri"/>
          <w:b w:val="false"/>
          <w:bCs w:val="false"/>
          <w:i w:val="false"/>
          <w:iCs w:val="false"/>
          <w:sz w:val="22"/>
          <w:szCs w:val="22"/>
        </w:rPr>
        <w:t xml:space="preserve">&lt;cite index=“130-1”&gt;In een recente uitspraak beoordeelde het College voor de Rechten van de Mens of een pensioenfonds (in de aangehaalde zaak: een fonds met een spreidingstermijn van tien jaar bij het invaren) leeftijdsdiscriminatie pleegde door bij een overschot ouderen een hogere toewijzing te geven dan jongeren.&lt;/cite&gt;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uitkomst: geen discriminatie.</w:t>
      </w:r>
      <w:r>
        <w:rPr>
          <w:rFonts w:ascii="Calibri" w:cs="Calibri" w:eastAsia="Calibri" w:hAnsi="Calibri"/>
          <w:b w:val="false"/>
          <w:bCs w:val="false"/>
          <w:i w:val="false"/>
          <w:iCs w:val="false"/>
          <w:sz w:val="22"/>
          <w:szCs w:val="22"/>
        </w:rPr>
        <w:t xml:space="preserve"> &lt;cite index=“130-1”&gt;Onderscheid op grond van leeftijd is niet verboden wanneer het wordt gerechtvaardigd door een legitiem doel, en de middelen om dat doel te bereiken passend en noodzakelijk zijn.&lt;/cite&gt; Het College paste dus dezelfde driestappentoets toe die in deel 22 en 23 al is behandeld — nu op fondsniveau.</w:t>
      </w:r>
    </w:p>
    <w:p>
      <w:pPr>
        <w:spacing w:after="100"/>
      </w:pPr>
    </w:p>
    <w:p>
      <w:pPr>
        <w:pStyle w:val="Heading2"/>
        <w:spacing w:after="120" w:before="200"/>
      </w:pPr>
      <w:r>
        <w:rPr>
          <w:rFonts w:ascii="Georgia" w:cs="Georgia" w:eastAsia="Georgia" w:hAnsi="Georgia"/>
          <w:b/>
          <w:bCs/>
          <w:color w:val="2563A8"/>
          <w:sz w:val="28"/>
          <w:szCs w:val="28"/>
        </w:rPr>
        <w:t xml:space="preserve">24.4 De argumentatiestructuur ontleed</w:t>
      </w:r>
    </w:p>
    <w:p>
      <w:pPr>
        <w:spacing w:after="140" w:line="300"/>
      </w:pPr>
      <w:r>
        <w:rPr>
          <w:rFonts w:ascii="Calibri" w:cs="Calibri" w:eastAsia="Calibri" w:hAnsi="Calibri"/>
          <w:b w:val="false"/>
          <w:bCs w:val="false"/>
          <w:i w:val="false"/>
          <w:iCs w:val="false"/>
          <w:sz w:val="22"/>
          <w:szCs w:val="22"/>
        </w:rPr>
        <w:t xml:space="preserve">Dit is de kern van dit deel: hóé rechtvaardigde het fonds het onderscheid, en waarom accepteerde het College dat?</w:t>
      </w:r>
    </w:p>
    <w:p>
      <w:pPr>
        <w:spacing w:after="140" w:line="300"/>
      </w:pPr>
      <w:r>
        <w:rPr>
          <w:rFonts w:ascii="Calibri" w:cs="Calibri" w:eastAsia="Calibri" w:hAnsi="Calibri"/>
          <w:b w:val="false"/>
          <w:bCs w:val="false"/>
          <w:i w:val="false"/>
          <w:iCs w:val="false"/>
          <w:sz w:val="22"/>
          <w:szCs w:val="22"/>
        </w:rPr>
        <w:t xml:space="preserve">&lt;cite index=“130-1”&gt;Het College nam in aanmerking dat ouderen er bij deze verdeling niet op achteruitgaan, maar enkel iets minder op vooruitgaan dan jongeren. Bovendien profiteren ouderen direct van de verhoging, terwijl jongeren nog in onzekerheid verkeren over de uiteindelijke opbouw van hun pensioenvermogen.&lt;/cite&gt;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kernargument: risicoduur rechtvaardigt risicovergoeding.</w:t>
      </w:r>
      <w:r>
        <w:rPr>
          <w:rFonts w:ascii="Calibri" w:cs="Calibri" w:eastAsia="Calibri" w:hAnsi="Calibri"/>
          <w:b w:val="false"/>
          <w:bCs w:val="false"/>
          <w:i w:val="false"/>
          <w:iCs w:val="false"/>
          <w:sz w:val="22"/>
          <w:szCs w:val="22"/>
        </w:rPr>
        <w:t xml:space="preserve"> &lt;cite index=“130-1”&gt;In de nieuwe regeling lopen jongeren, door het verloop van tijd, méér risico op hun uiteindelijke pensioenaanspraak — en dat rechtvaardigt een hogere toewijzing van het overschot aan hen.&lt;/cite&gt; Met andere woorden: het onderscheid is niet arbitrair maar volgt een actuarieel verdedigbare logica, vergelijkbaar met — maar niet identiek aan — het cohort-argument uit deel 23.</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toets van de gekozen spreidingstermijn zelf.</w:t>
      </w:r>
      <w:r>
        <w:rPr>
          <w:rFonts w:ascii="Calibri" w:cs="Calibri" w:eastAsia="Calibri" w:hAnsi="Calibri"/>
          <w:b w:val="false"/>
          <w:bCs w:val="false"/>
          <w:i w:val="false"/>
          <w:iCs w:val="false"/>
          <w:sz w:val="22"/>
          <w:szCs w:val="22"/>
        </w:rPr>
        <w:t xml:space="preserve"> &lt;cite index=“130-1”&gt;De spreidingstermijn van tien jaar werd, ook na verschillende doorgerekende alternatieven, beoordeeld als het meest evenwichtige voor het specifieke deelnemersbestand van dit fonds.&lt;/cite&gt; Dit is een belangrijk punt: de rechtvaardiging steunt niet op de bewering “tien jaar is nu eenmaal de standaard”, maar op een aantoonbare, voor dít fonds specifiek doorgerekende afweging — exact de noodzakelijkheidstoets uit de driestappentoets, en exact de reden waarom de standaardmethode uit deel 16 haar default-termijn van tien jaar wél of niet onderbouwd mag laten afwijken.</w:t>
      </w:r>
    </w:p>
    <w:p>
      <w:pPr>
        <w:spacing w:after="100"/>
      </w:pPr>
    </w:p>
    <w:p>
      <w:pPr>
        <w:pStyle w:val="Heading2"/>
        <w:spacing w:after="120" w:before="200"/>
      </w:pPr>
      <w:r>
        <w:rPr>
          <w:rFonts w:ascii="Georgia" w:cs="Georgia" w:eastAsia="Georgia" w:hAnsi="Georgia"/>
          <w:b/>
          <w:bCs/>
          <w:color w:val="2563A8"/>
          <w:sz w:val="28"/>
          <w:szCs w:val="28"/>
        </w:rPr>
        <w:t xml:space="preserve">24.5 De terughoudende toets bij afspraken van sociale partners</w:t>
      </w:r>
    </w:p>
    <w:p>
      <w:pPr>
        <w:spacing w:after="140" w:line="300"/>
      </w:pPr>
      <w:r>
        <w:rPr>
          <w:rFonts w:ascii="Calibri" w:cs="Calibri" w:eastAsia="Calibri" w:hAnsi="Calibri"/>
          <w:b w:val="false"/>
          <w:bCs w:val="false"/>
          <w:i w:val="false"/>
          <w:iCs w:val="false"/>
          <w:sz w:val="22"/>
          <w:szCs w:val="22"/>
        </w:rPr>
        <w:t xml:space="preserve">Een tweede juridisch punt uit dezelfde uitspraaklijn is minstens zo belangrijk voor de adviespraktijk.</w:t>
      </w:r>
    </w:p>
    <w:p>
      <w:pPr>
        <w:spacing w:after="140" w:line="300"/>
      </w:pPr>
      <w:r>
        <w:rPr>
          <w:rFonts w:ascii="Calibri" w:cs="Calibri" w:eastAsia="Calibri" w:hAnsi="Calibri"/>
          <w:b w:val="false"/>
          <w:bCs w:val="false"/>
          <w:i w:val="false"/>
          <w:iCs w:val="false"/>
          <w:sz w:val="22"/>
          <w:szCs w:val="22"/>
        </w:rPr>
        <w:t xml:space="preserve">&lt;cite index=“130-1”&gt;Het fonds voerde aan dat het College terughoudend moet toetsen omdat het onderscheid makende beleid is overeengekomen door sociale partners.&lt;/cite&gt;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dit betekent.</w:t>
      </w:r>
      <w:r>
        <w:rPr>
          <w:rFonts w:ascii="Calibri" w:cs="Calibri" w:eastAsia="Calibri" w:hAnsi="Calibri"/>
          <w:b w:val="false"/>
          <w:bCs w:val="false"/>
          <w:i w:val="false"/>
          <w:iCs w:val="false"/>
          <w:sz w:val="22"/>
          <w:szCs w:val="22"/>
        </w:rPr>
        <w:t xml:space="preserve"> Wanneer een keuze niet eenzijdig door een fondsbestuur is gemaakt, maar het resultaat is van onderhandeling tussen sociale partners (vergelijkbaar met de arbeidsvoorwaardelijke laag uit deel 2 en het transitieplan uit deel 7), erkennen toezichthouders en beoordelende instanties een zekere onderhandelingsvrijheid. Dit is dezelfde erkenning die in deel 20 al naar voren kwam bij de geschilleninstanties: &lt;cite index=“114-1”&gt;“de geschilleninstantie kan niet treden in de beleidsmatige keuzes van sociale partners — dat valt onder hun onderhandelingsvrijheid.”&lt;/cite&gt;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dit niet betekent.</w:t>
      </w:r>
      <w:r>
        <w:rPr>
          <w:rFonts w:ascii="Calibri" w:cs="Calibri" w:eastAsia="Calibri" w:hAnsi="Calibri"/>
          <w:b w:val="false"/>
          <w:bCs w:val="false"/>
          <w:i w:val="false"/>
          <w:iCs w:val="false"/>
          <w:sz w:val="22"/>
          <w:szCs w:val="22"/>
        </w:rPr>
        <w:t xml:space="preserve"> Terughoudende toetsing is geen vrijstelling van toetsing. Het College beoordeelde de zaak nog steeds inhoudelijk en kwam tot een oordeel — de terughoudendheid zit in de mate van indringendheid van de toets, niet in het overslaan ervan. Dit is dezelfde nuance als bij OR-instemming in deel 22: een breed gedragen, zorgvuldig onderhandeld besluit staat sterker, maar is niet immuun voor toetsing.</w:t>
      </w:r>
    </w:p>
    <w:p>
      <w:pPr>
        <w:spacing w:after="100"/>
      </w:pPr>
    </w:p>
    <w:p>
      <w:pPr>
        <w:pStyle w:val="Heading2"/>
        <w:spacing w:after="120" w:before="200"/>
      </w:pPr>
      <w:r>
        <w:rPr>
          <w:rFonts w:ascii="Georgia" w:cs="Georgia" w:eastAsia="Georgia" w:hAnsi="Georgia"/>
          <w:b/>
          <w:bCs/>
          <w:color w:val="2563A8"/>
          <w:sz w:val="28"/>
          <w:szCs w:val="28"/>
        </w:rPr>
        <w:t xml:space="preserve">24.6 De parallel met deel 23, expliciet gemaakt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Verzekerd (deel 23)</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Fonds (dit 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onderscheid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Tussen gesloten-groep-deelnemers en nieuwe instroom, of tussen leeftijdsgroepen bij compensatie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Tussen leeftijdsgroepen bij verdeling van het invaaroverschot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Rechtvaardigingsgrond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Actuariële continuïteit binnen een cohort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Verschillend risicoprofiel (resterende looptijd) tussen leeftijdsgroepen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Toetsingskader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WGBL, driestappentoets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WGBL, dezelfde driestappentoets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Rol van collectieve instemming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OR-instemming: zwaarwegend gezichtspunt, geen vrijbrief (deel 22)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Sociale-partnersinstemming: terughoudende toets, geen vrijstelling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Kern van de rechtvaardiging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Gelijke opbouw per premie-euro binnen een cohort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Jongeren lopen langer risico, dus hogere toewijzing gerechtvaardigd</w:t>
            </w:r>
          </w:p>
        </w:tc>
      </w:tr>
    </w:tbl>
    <w:p>
      <w:pPr>
        <w:spacing w:after="140" w:line="300"/>
      </w:pPr>
      <w:r>
        <w:rPr>
          <w:rFonts w:ascii="Calibri" w:cs="Calibri" w:eastAsia="Calibri" w:hAnsi="Calibri"/>
          <w:b w:val="false"/>
          <w:bCs w:val="false"/>
          <w:i w:val="false"/>
          <w:iCs w:val="false"/>
          <w:sz w:val="22"/>
          <w:szCs w:val="22"/>
        </w:rPr>
        <w:t xml:space="preserve">De twee werelden lossen structureel hetzelfde probleem op met een structureel vergelijkbare juridische redenering, precies zoals de hele cursus al vanaf deel 1 liet zien dat fondsen en verzekeraars dezelfde onderliggende vraagstukken via verschillende mechanismen oplossen.</w:t>
      </w:r>
    </w:p>
    <w:p>
      <w:pPr>
        <w:spacing w:after="100"/>
      </w:pPr>
    </w:p>
    <w:p>
      <w:pPr>
        <w:pStyle w:val="Heading2"/>
        <w:spacing w:after="120" w:before="200"/>
      </w:pPr>
      <w:r>
        <w:rPr>
          <w:rFonts w:ascii="Georgia" w:cs="Georgia" w:eastAsia="Georgia" w:hAnsi="Georgia"/>
          <w:b/>
          <w:bCs/>
          <w:color w:val="2563A8"/>
          <w:sz w:val="28"/>
          <w:szCs w:val="28"/>
        </w:rPr>
        <w:t xml:space="preserve">24.7 Netto profijt, nu met juridische onderbouwing</w:t>
      </w:r>
    </w:p>
    <w:p>
      <w:pPr>
        <w:spacing w:after="140" w:line="300"/>
      </w:pPr>
      <w:r>
        <w:rPr>
          <w:rFonts w:ascii="Calibri" w:cs="Calibri" w:eastAsia="Calibri" w:hAnsi="Calibri"/>
          <w:b w:val="false"/>
          <w:bCs w:val="false"/>
          <w:i w:val="false"/>
          <w:iCs w:val="false"/>
          <w:sz w:val="22"/>
          <w:szCs w:val="22"/>
        </w:rPr>
        <w:t xml:space="preserve">Terug naar deel 16: netto profijt van 0% is geen vanzelfsprekend evenwichtige uitkomst, omdat het de oude doorsneesystematiek bestendigt. Dit deel voegt toe: een </w:t>
      </w:r>
      <w:r>
        <w:rPr>
          <w:rFonts w:ascii="Calibri" w:cs="Calibri" w:eastAsia="Calibri" w:hAnsi="Calibri"/>
          <w:b/>
          <w:bCs/>
          <w:i w:val="false"/>
          <w:iCs w:val="false"/>
          <w:sz w:val="22"/>
          <w:szCs w:val="22"/>
        </w:rPr>
        <w:t xml:space="preserve">ongelijke</w:t>
      </w:r>
      <w:r>
        <w:rPr>
          <w:rFonts w:ascii="Calibri" w:cs="Calibri" w:eastAsia="Calibri" w:hAnsi="Calibri"/>
          <w:b w:val="false"/>
          <w:bCs w:val="false"/>
          <w:i w:val="false"/>
          <w:iCs w:val="false"/>
          <w:sz w:val="22"/>
          <w:szCs w:val="22"/>
        </w:rPr>
        <w:t xml:space="preserve"> verdeling van netto profijt tussen leeftijdsgroepen is evenmin per definitie problematisch — mits die ongelijkheid, zoals in de aangehaalde uitspraak, kan worden herleid tot een verdedigbaar, voor het specifieke bestand doorgerekend verschil in risicopositie.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rekenkundige oefening die hierbij hoort.</w:t>
      </w:r>
      <w:r>
        <w:rPr>
          <w:rFonts w:ascii="Calibri" w:cs="Calibri" w:eastAsia="Calibri" w:hAnsi="Calibri"/>
          <w:b w:val="false"/>
          <w:bCs w:val="false"/>
          <w:i w:val="false"/>
          <w:iCs w:val="false"/>
          <w:sz w:val="22"/>
          <w:szCs w:val="22"/>
        </w:rPr>
        <w:t xml:space="preserve"> Voor een fonds dat een spreidingstermijn kiest, betekent dit concreet: laat zien, per leeftijdscohort, wat het effect van verschillende termijnen (bijvoorbeeld vijf, tien en vijftien jaar) zou zijn geweest, en onderbouw waarom de gekozen termijn voor dít bestand het beste evenwicht oplevert. Een fonds dat alleen de wettelijke default van tien jaar toepast zonder deze vergelijking te maken, mist — ook al is de uitkomst mogelijk identiek — de onderbouwing die in de aangehaalde zaak juist doorslaggevend was.</w:t>
      </w:r>
    </w:p>
    <w:p>
      <w:pPr>
        <w:spacing w:after="100"/>
      </w:pPr>
    </w:p>
    <w:p>
      <w:pPr>
        <w:pStyle w:val="Heading2"/>
        <w:spacing w:after="120" w:before="200"/>
      </w:pPr>
      <w:r>
        <w:rPr>
          <w:rFonts w:ascii="Georgia" w:cs="Georgia" w:eastAsia="Georgia" w:hAnsi="Georgia"/>
          <w:b/>
          <w:bCs/>
          <w:color w:val="2563A8"/>
          <w:sz w:val="28"/>
          <w:szCs w:val="28"/>
        </w:rPr>
        <w:t xml:space="preserve">24.8 Toepassing op Bpf T&amp;I</w:t>
      </w:r>
    </w:p>
    <w:p>
      <w:pPr>
        <w:spacing w:after="140" w:line="300"/>
      </w:pPr>
      <w:r>
        <w:rPr>
          <w:rFonts w:ascii="Calibri" w:cs="Calibri" w:eastAsia="Calibri" w:hAnsi="Calibri"/>
          <w:b w:val="false"/>
          <w:bCs w:val="false"/>
          <w:i w:val="false"/>
          <w:iCs w:val="false"/>
          <w:sz w:val="22"/>
          <w:szCs w:val="22"/>
        </w:rPr>
        <w:t xml:space="preserve">Bpf T&amp;I gaat per 1 januari 2027 over op de solidaire premieregeling (deel 5, 16). Beoordeel het invaarbesluit langs de lijn van dit deel:</w:t>
      </w:r>
    </w:p>
    <w:p>
      <w:pPr>
        <w:pStyle w:val="ListParagraph"/>
        <w:numPr>
          <w:ilvl w:val="0"/>
          <w:numId w:val="1"/>
        </w:numPr>
        <w:spacing w:after="80"/>
      </w:pPr>
      <w:r>
        <w:rPr>
          <w:rFonts w:ascii="Calibri" w:cs="Calibri" w:eastAsia="Calibri" w:hAnsi="Calibri"/>
          <w:sz w:val="22"/>
          <w:szCs w:val="22"/>
        </w:rPr>
        <w:t xml:space="preserve">1. Is er onderscheid tussen leeftijdsgroepen in de verdeling van het beschikbare vermogen? Vrijwel zeker wel, gezien de aard van de standaardmethode en de toedelingsregels (deel 3 en 16).</w:t>
      </w:r>
    </w:p>
    <w:p>
      <w:pPr>
        <w:pStyle w:val="ListParagraph"/>
        <w:numPr>
          <w:ilvl w:val="0"/>
          <w:numId w:val="1"/>
        </w:numPr>
        <w:spacing w:after="80"/>
      </w:pPr>
      <w:r>
        <w:rPr>
          <w:rFonts w:ascii="Calibri" w:cs="Calibri" w:eastAsia="Calibri" w:hAnsi="Calibri"/>
          <w:sz w:val="22"/>
          <w:szCs w:val="22"/>
        </w:rPr>
        <w:t xml:space="preserve">2. Is dat onderscheid herleidbaar tot een verschil in risicopositie of resterende looptijd? Dit moet het fondsbestuur expliciet kunnen aantonen, op dezelfde manier als in de aangehaalde uitspraak.</w:t>
      </w:r>
    </w:p>
    <w:p>
      <w:pPr>
        <w:pStyle w:val="ListParagraph"/>
        <w:numPr>
          <w:ilvl w:val="0"/>
          <w:numId w:val="1"/>
        </w:numPr>
        <w:spacing w:after="80"/>
      </w:pPr>
      <w:r>
        <w:rPr>
          <w:rFonts w:ascii="Calibri" w:cs="Calibri" w:eastAsia="Calibri" w:hAnsi="Calibri"/>
          <w:sz w:val="22"/>
          <w:szCs w:val="22"/>
        </w:rPr>
        <w:t xml:space="preserve">3. Is de gekozen spreidingstermijn en toedelingsmethodiek specifiek voor Bpf T&amp;I doorgerekend, of is alleen de wettelijke default toegepast zonder eigen onderbouwing?</w:t>
      </w:r>
    </w:p>
    <w:p>
      <w:pPr>
        <w:pStyle w:val="ListParagraph"/>
        <w:numPr>
          <w:ilvl w:val="0"/>
          <w:numId w:val="1"/>
        </w:numPr>
        <w:spacing w:after="80"/>
      </w:pPr>
      <w:r>
        <w:rPr>
          <w:rFonts w:ascii="Calibri" w:cs="Calibri" w:eastAsia="Calibri" w:hAnsi="Calibri"/>
          <w:sz w:val="22"/>
          <w:szCs w:val="22"/>
        </w:rPr>
        <w:t xml:space="preserve">4. Is dit tot stand gekomen via sociale partners (met de bijbehorende terughoudende toets) of eenzijdig door het bestuur (met een indringender toets)?</w:t>
      </w:r>
    </w:p>
    <w:p>
      <w:pPr>
        <w:spacing w:after="140" w:line="300"/>
      </w:pPr>
      <w:r>
        <w:rPr>
          <w:rFonts w:ascii="Calibri" w:cs="Calibri" w:eastAsia="Calibri" w:hAnsi="Calibri"/>
          <w:b w:val="false"/>
          <w:bCs w:val="false"/>
          <w:i w:val="false"/>
          <w:iCs w:val="false"/>
          <w:sz w:val="22"/>
          <w:szCs w:val="22"/>
        </w:rPr>
        <w:t xml:space="preserve">Voor een adviseur die betrokken is bij de advisering van vrijgestelde werkgevers zoals Van Doorn (deel 4), is dit relevant: de gelijkwaardigheidstoets waaraan Van Doorns eigen regeling moet voldoen, wordt mede beïnvloed door hoe robuust en juridisch verdedigbaar Bpf T&amp;I’s eigen invaarbesluit is vormgegeven.</w:t>
      </w:r>
    </w:p>
    <w:p>
      <w:pPr>
        <w:spacing w:after="100"/>
      </w:pPr>
    </w:p>
    <w:p>
      <w:pPr>
        <w:pStyle w:val="Heading2"/>
        <w:spacing w:after="120" w:before="200"/>
      </w:pPr>
      <w:r>
        <w:rPr>
          <w:rFonts w:ascii="Georgia" w:cs="Georgia" w:eastAsia="Georgia" w:hAnsi="Georgia"/>
          <w:b/>
          <w:bCs/>
          <w:color w:val="2563A8"/>
          <w:sz w:val="28"/>
          <w:szCs w:val="28"/>
        </w:rPr>
        <w:t xml:space="preserve">24.9 Kernbegrippen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Begrip</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Betekenis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Risicoduur-argument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Rechtvaardiging dat jongeren langer risico lopen en daarom een hogere toewijzing verdedigbaar 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Terughoudende toets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Minder indringende beoordeling wanneer sociale partners het onderscheid zijn overeengekomen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Bestandspecifieke onderbouwing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Doorgerekende vergelijking van alternatieven voor het concrete deelnemersbestand</w:t>
            </w:r>
          </w:p>
        </w:tc>
      </w:tr>
    </w:tbl>
    <w:p>
      <w:pPr>
        <w:spacing w:after="100"/>
      </w:pPr>
    </w:p>
    <w:p>
      <w:pPr>
        <w:pStyle w:val="Heading2"/>
        <w:spacing w:after="120" w:before="200"/>
      </w:pPr>
      <w:r>
        <w:rPr>
          <w:rFonts w:ascii="Georgia" w:cs="Georgia" w:eastAsia="Georgia" w:hAnsi="Georgia"/>
          <w:b/>
          <w:bCs/>
          <w:color w:val="2563A8"/>
          <w:sz w:val="28"/>
          <w:szCs w:val="28"/>
        </w:rPr>
        <w:t xml:space="preserve">24.10 Samenvatting</w:t>
      </w:r>
    </w:p>
    <w:p>
      <w:pPr>
        <w:pStyle w:val="ListParagraph"/>
        <w:numPr>
          <w:ilvl w:val="0"/>
          <w:numId w:val="1"/>
        </w:numPr>
        <w:spacing w:after="80"/>
      </w:pPr>
      <w:r>
        <w:rPr>
          <w:rFonts w:ascii="Calibri" w:cs="Calibri" w:eastAsia="Calibri" w:hAnsi="Calibri"/>
          <w:sz w:val="22"/>
          <w:szCs w:val="22"/>
        </w:rPr>
        <w:t xml:space="preserve">Een recente uitspraak van het College voor de Rechten van de Mens bevestigt dat een leeftijdsafhankelijke verdeling van het invaaroverschot niet automatisch discriminerend is, mits objectief gerechtvaardigd.</w:t>
      </w:r>
    </w:p>
    <w:p>
      <w:pPr>
        <w:pStyle w:val="ListParagraph"/>
        <w:numPr>
          <w:ilvl w:val="0"/>
          <w:numId w:val="1"/>
        </w:numPr>
        <w:spacing w:after="80"/>
      </w:pPr>
      <w:r>
        <w:rPr>
          <w:rFonts w:ascii="Calibri" w:cs="Calibri" w:eastAsia="Calibri" w:hAnsi="Calibri"/>
          <w:sz w:val="22"/>
          <w:szCs w:val="22"/>
        </w:rPr>
        <w:t xml:space="preserve">Het kernargument: jongeren lopen door het verloop van tijd langer risico op hun uiteindelijke aanspraak, wat een hogere toewijzing rechtvaardigt; ouderen gaan er niet op achteruit, maar profiteren direct.</w:t>
      </w:r>
    </w:p>
    <w:p>
      <w:pPr>
        <w:pStyle w:val="ListParagraph"/>
        <w:numPr>
          <w:ilvl w:val="0"/>
          <w:numId w:val="1"/>
        </w:numPr>
        <w:spacing w:after="80"/>
      </w:pPr>
      <w:r>
        <w:rPr>
          <w:rFonts w:ascii="Calibri" w:cs="Calibri" w:eastAsia="Calibri" w:hAnsi="Calibri"/>
          <w:sz w:val="22"/>
          <w:szCs w:val="22"/>
        </w:rPr>
        <w:t xml:space="preserve">De gekozen spreidingstermijn moet, om overeind te blijven, specifiek voor het bestand zijn doorgerekend — niet alleen de wettelijke default zijn.</w:t>
      </w:r>
    </w:p>
    <w:p>
      <w:pPr>
        <w:pStyle w:val="ListParagraph"/>
        <w:numPr>
          <w:ilvl w:val="0"/>
          <w:numId w:val="1"/>
        </w:numPr>
        <w:spacing w:after="80"/>
      </w:pPr>
      <w:r>
        <w:rPr>
          <w:rFonts w:ascii="Calibri" w:cs="Calibri" w:eastAsia="Calibri" w:hAnsi="Calibri"/>
          <w:sz w:val="22"/>
          <w:szCs w:val="22"/>
        </w:rPr>
        <w:t xml:space="preserve">Instemming van sociale partners leidt tot een terughoudende, maar niet tot een afwezige toets.</w:t>
      </w:r>
    </w:p>
    <w:p>
      <w:pPr>
        <w:pStyle w:val="ListParagraph"/>
        <w:numPr>
          <w:ilvl w:val="0"/>
          <w:numId w:val="1"/>
        </w:numPr>
        <w:spacing w:after="80"/>
      </w:pPr>
      <w:r>
        <w:rPr>
          <w:rFonts w:ascii="Calibri" w:cs="Calibri" w:eastAsia="Calibri" w:hAnsi="Calibri"/>
          <w:sz w:val="22"/>
          <w:szCs w:val="22"/>
        </w:rPr>
        <w:t xml:space="preserve">Dezelfde juridische structuur (WGBL, driestappentoets) verbindt deel 23 (verzekerd) en dit deel (fondsen) — de twee werelden lossen hetzelfde probleem structureel gelijkaardig op.</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Doorkijk naar deel 25.</w:t>
      </w:r>
      <w:r>
        <w:rPr>
          <w:rFonts w:ascii="Calibri" w:cs="Calibri" w:eastAsia="Calibri" w:hAnsi="Calibri"/>
          <w:b w:val="false"/>
          <w:bCs w:val="false"/>
          <w:i w:val="false"/>
          <w:iCs w:val="false"/>
          <w:sz w:val="22"/>
          <w:szCs w:val="22"/>
        </w:rPr>
        <w:t xml:space="preserve"> Tot nu toe speelde niveau 3 zich af binnen de Nederlandse rechtsorde. Deel 25 verlegt de blik naar grensoverschrijdend pensioen en de Europese IORP II-richtlijn — relevant zodra een werkgever, een fonds, of een deelnemer de Nederlandse grens over gaat.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3 — Expert · Deel 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2026-08-17T11:22:45.883Z</dcterms:created>
  <dcterms:modified xsi:type="dcterms:W3CDTF">2026-08-17T11:22:45.883Z</dcterms:modified>
</cp:coreProperties>
</file>

<file path=docProps/custom.xml><?xml version="1.0" encoding="utf-8"?>
<Properties xmlns="http://schemas.openxmlformats.org/officeDocument/2006/custom-properties" xmlns:vt="http://schemas.openxmlformats.org/officeDocument/2006/docPropsVTypes"/>
</file>