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24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24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24.1 — De argumentatiestructuur reproduceren</w:t>
      </w:r>
    </w:p>
    <w:p>
      <w:pPr>
        <w:spacing w:after="140" w:line="300"/>
      </w:pPr>
      <w:r>
        <w:rPr>
          <w:rFonts w:ascii="Calibri" w:cs="Calibri" w:eastAsia="Calibri" w:hAnsi="Calibri"/>
          <w:b w:val="false"/>
          <w:bCs w:val="false"/>
          <w:i w:val="false"/>
          <w:iCs w:val="false"/>
          <w:sz w:val="22"/>
          <w:szCs w:val="22"/>
        </w:rPr>
        <w:t xml:space="preserve">Herhaal zonder de reader erbij te pakken de twee argumenten die het College accepteerde voor de leeftijdsafhankelijke verdeling van het invaaroverschot.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(1) Ouderen gaan er niet op achteruit, alleen iets minder op vooruit dan jongeren, en profiteren bovendien direct — terwijl jongeren nog in onzekerheid verkeren over hun uiteindelijke pensioenvermogen. (2) Jongeren lopen door het verloop van tijd langer risico op hun uiteindelijke aanspraak, wat een hogere toewijzing van het overschot aan hen rechtvaardigt.</w:t>
            </w:r>
          </w:p>
        </w:tc>
      </w:tr>
    </w:tbl>
    <w:p>
      <w:pPr>
        <w:spacing w:after="100"/>
      </w:pPr>
    </w:p>
    <w:p>
      <w:pPr>
        <w:pStyle w:val="Heading2"/>
        <w:spacing w:after="120" w:before="200"/>
      </w:pPr>
      <w:r>
        <w:rPr>
          <w:rFonts w:ascii="Georgia" w:cs="Georgia" w:eastAsia="Georgia" w:hAnsi="Georgia"/>
          <w:b/>
          <w:bCs/>
          <w:color w:val="2563A8"/>
          <w:sz w:val="28"/>
          <w:szCs w:val="28"/>
        </w:rPr>
        <w:t xml:space="preserve">Opdracht 24.2 — Driestappentoets op de spreidingstermijn</w:t>
      </w:r>
    </w:p>
    <w:p>
      <w:pPr>
        <w:spacing w:after="140" w:line="300"/>
      </w:pPr>
      <w:r>
        <w:rPr>
          <w:rFonts w:ascii="Calibri" w:cs="Calibri" w:eastAsia="Calibri" w:hAnsi="Calibri"/>
          <w:b w:val="false"/>
          <w:bCs w:val="false"/>
          <w:i w:val="false"/>
          <w:iCs w:val="false"/>
          <w:sz w:val="22"/>
          <w:szCs w:val="22"/>
        </w:rPr>
        <w:t xml:space="preserve">Pas de driestappentoets uit deel 22 toe op de keuze voor een spreidingstermijn van tien jaar bij een fonds met een overschot.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Legitiem doel: een evenwichtige verdeling van financiële mee- en tegenvallers tussen generaties met verschillende resterende looptijden. Passend middel: een langere spreidingstermijn dempt schokken en verdeelt het effect geleidelijker over de tijd, wat bij een langere resterende looptijd (jongeren) meer effect sorteert. Noodzakelijk middel: dit vergt de bestandspecifieke onderbouwing — is aangetoond dat kortere of langere termijnen minder evenwichtig zouden uitpakken voor dít bestand? In de aangehaalde zaak was dat aangetoond via doorgerekende alternatieven.</w:t>
            </w:r>
          </w:p>
        </w:tc>
      </w:tr>
    </w:tbl>
    <w:p>
      <w:pPr>
        <w:spacing w:after="100"/>
      </w:pPr>
    </w:p>
    <w:p>
      <w:pPr>
        <w:pStyle w:val="Heading2"/>
        <w:spacing w:after="120" w:before="200"/>
      </w:pPr>
      <w:r>
        <w:rPr>
          <w:rFonts w:ascii="Georgia" w:cs="Georgia" w:eastAsia="Georgia" w:hAnsi="Georgia"/>
          <w:b/>
          <w:bCs/>
          <w:color w:val="2563A8"/>
          <w:sz w:val="28"/>
          <w:szCs w:val="28"/>
        </w:rPr>
        <w:t xml:space="preserve">Opdracht 24.3 — Terughoudende toets, correct toegepast</w:t>
      </w:r>
    </w:p>
    <w:p>
      <w:pPr>
        <w:spacing w:after="140" w:line="300"/>
      </w:pPr>
      <w:r>
        <w:rPr>
          <w:rFonts w:ascii="Calibri" w:cs="Calibri" w:eastAsia="Calibri" w:hAnsi="Calibri"/>
          <w:b w:val="false"/>
          <w:bCs w:val="false"/>
          <w:i w:val="false"/>
          <w:iCs w:val="false"/>
          <w:sz w:val="22"/>
          <w:szCs w:val="22"/>
        </w:rPr>
        <w:t xml:space="preserve">Een fondsbestuurder zegt: “Onze sociale partners hebben ingestemd, dus we hoeven ons geen zorgen te maken over een discriminatieklacht.”</w:t>
      </w:r>
    </w:p>
    <w:p>
      <w:pPr>
        <w:spacing w:after="140" w:line="300"/>
      </w:pPr>
      <w:r>
        <w:rPr>
          <w:rFonts w:ascii="Calibri" w:cs="Calibri" w:eastAsia="Calibri" w:hAnsi="Calibri"/>
          <w:b w:val="false"/>
          <w:bCs w:val="false"/>
          <w:i w:val="false"/>
          <w:iCs w:val="false"/>
          <w:sz w:val="22"/>
          <w:szCs w:val="22"/>
        </w:rPr>
        <w:t xml:space="preserve">a. Wat is de denkfout?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correcte formulering?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Dezelfde denkfout als in deel 22 bij OR-instemming: instemming door sociale partners leidt tot een terughoudende toets, niet tot het uitblijven van toetsing. De bewijslast voor de objectieve rechtvaardiging blijft bestaan, alleen wordt zij minder indringend beoordeeld.</w:t>
      </w:r>
    </w:p>
    <w:p>
      <w:pPr>
        <w:spacing w:after="140" w:line="300"/>
      </w:pPr>
      <w:r>
        <w:rPr>
          <w:rFonts w:ascii="Calibri" w:cs="Calibri" w:eastAsia="Calibri" w:hAnsi="Calibri"/>
          <w:b w:val="false"/>
          <w:bCs w:val="false"/>
          <w:i w:val="false"/>
          <w:iCs w:val="false"/>
          <w:sz w:val="22"/>
          <w:szCs w:val="22"/>
        </w:rPr>
        <w:t xml:space="preserve">b. “Onze sociale partners hebben ingestemd, wat betekent dat een beoordelende instantie terughoudender zal toetsen — maar we moeten nog steeds kunnen aantonen waarom onze keuze evenwichtig is voor dit specifieke bestand.”</w:t>
      </w:r>
    </w:p>
    <w:p>
      <w:pPr>
        <w:spacing w:after="100"/>
      </w:pPr>
    </w:p>
    <w:p>
      <w:pPr>
        <w:pStyle w:val="Heading2"/>
        <w:spacing w:after="120" w:before="200"/>
      </w:pPr>
      <w:r>
        <w:rPr>
          <w:rFonts w:ascii="Georgia" w:cs="Georgia" w:eastAsia="Georgia" w:hAnsi="Georgia"/>
          <w:b/>
          <w:bCs/>
          <w:color w:val="2563A8"/>
          <w:sz w:val="28"/>
          <w:szCs w:val="28"/>
        </w:rPr>
        <w:t xml:space="preserve">Opdracht 24.4 — Bestandspecifieke onderbouwing versus wettelijke default</w:t>
      </w:r>
    </w:p>
    <w:p>
      <w:pPr>
        <w:spacing w:after="140" w:line="300"/>
      </w:pPr>
      <w:r>
        <w:rPr>
          <w:rFonts w:ascii="Calibri" w:cs="Calibri" w:eastAsia="Calibri" w:hAnsi="Calibri"/>
          <w:b w:val="false"/>
          <w:bCs w:val="false"/>
          <w:i w:val="false"/>
          <w:iCs w:val="false"/>
          <w:sz w:val="22"/>
          <w:szCs w:val="22"/>
        </w:rPr>
        <w:t xml:space="preserve">Twee fondsen kiezen beide voor de standaard spreidingstermijn van tien jaar bij invaren.</w:t>
      </w:r>
    </w:p>
    <w:p>
      <w:pPr>
        <w:pStyle w:val="ListParagraph"/>
        <w:numPr>
          <w:ilvl w:val="0"/>
          <w:numId w:val="1"/>
        </w:numPr>
        <w:spacing w:after="80"/>
      </w:pPr>
      <w:r>
        <w:rPr>
          <w:rFonts w:ascii="Calibri" w:cs="Calibri" w:eastAsia="Calibri" w:hAnsi="Calibri"/>
          <w:sz w:val="22"/>
          <w:szCs w:val="22"/>
        </w:rPr>
        <w:t xml:space="preserve">Fonds A heeft drie alternatieve termijnen laten doorrekenen voor zijn eigen bestand en gedocumenteerd waarom tien jaar het beste past.</w:t>
      </w:r>
    </w:p>
    <w:p>
      <w:pPr>
        <w:pStyle w:val="ListParagraph"/>
        <w:numPr>
          <w:ilvl w:val="0"/>
          <w:numId w:val="1"/>
        </w:numPr>
        <w:spacing w:after="80"/>
      </w:pPr>
      <w:r>
        <w:rPr>
          <w:rFonts w:ascii="Calibri" w:cs="Calibri" w:eastAsia="Calibri" w:hAnsi="Calibri"/>
          <w:sz w:val="22"/>
          <w:szCs w:val="22"/>
        </w:rPr>
        <w:t xml:space="preserve">Fonds B heeft alleen de wettelijke default toegepast, zonder eigen doorrekening.</w:t>
      </w:r>
    </w:p>
    <w:p>
      <w:pPr>
        <w:spacing w:after="140" w:line="300"/>
      </w:pPr>
      <w:r>
        <w:rPr>
          <w:rFonts w:ascii="Calibri" w:cs="Calibri" w:eastAsia="Calibri" w:hAnsi="Calibri"/>
          <w:b w:val="false"/>
          <w:bCs w:val="false"/>
          <w:i w:val="false"/>
          <w:iCs w:val="false"/>
          <w:sz w:val="22"/>
          <w:szCs w:val="22"/>
        </w:rPr>
        <w:t xml:space="preserve">Welk fonds staat sterker als het besluit wordt aangevochten, en waarom?</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Fonds A staat aanzienlijk sterker. De uitkomst kan voor beide fondsen identiek zijn (tien jaar), maar de kracht van de rechtvaardiging zit niet in de uitkomst zelf maar in de onderbouwing ervan — exact zoals in de aangehaalde uitspraak de bestandspecifieke doorrekening doorslaggevend was. Fonds B loopt het risico dat een beoordelende instantie oordeelt dat de noodzakelijkheidsstap onvoldoende is onderbouwd, ook al is de gekozen termijn op zichzelf verdedigbaar.</w:t>
            </w:r>
          </w:p>
        </w:tc>
      </w:tr>
    </w:tbl>
    <w:p>
      <w:pPr>
        <w:spacing w:after="100"/>
      </w:pPr>
    </w:p>
    <w:p>
      <w:pPr>
        <w:pStyle w:val="Heading2"/>
        <w:spacing w:after="120" w:before="200"/>
      </w:pPr>
      <w:r>
        <w:rPr>
          <w:rFonts w:ascii="Georgia" w:cs="Georgia" w:eastAsia="Georgia" w:hAnsi="Georgia"/>
          <w:b/>
          <w:bCs/>
          <w:color w:val="2563A8"/>
          <w:sz w:val="28"/>
          <w:szCs w:val="28"/>
        </w:rPr>
        <w:t xml:space="preserve">Opdracht 24.5 — De parallel met deel 23 zelf construeren</w:t>
      </w:r>
    </w:p>
    <w:p>
      <w:pPr>
        <w:spacing w:after="140" w:line="300"/>
      </w:pPr>
      <w:r>
        <w:rPr>
          <w:rFonts w:ascii="Calibri" w:cs="Calibri" w:eastAsia="Calibri" w:hAnsi="Calibri"/>
          <w:b w:val="false"/>
          <w:bCs w:val="false"/>
          <w:i w:val="false"/>
          <w:iCs w:val="false"/>
          <w:sz w:val="22"/>
          <w:szCs w:val="22"/>
        </w:rPr>
        <w:t xml:space="preserve">Vul de vergelijkingstabel uit paragraaf 24.6 verder aan met een vierde rij naar keuze (bijvoorbeeld: “gevolg bij falen van de toets” of “wie voert de toets uit”).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 Gevolg bij falen van de toets: bij een verzekerde regeling (deel 22) kan dit leiden tot een individuele procedure bij de kantonrechter over de eenzijdige wijziging, of een klacht wegens leeftijdsdiscriminatie; bij een fonds kan dit leiden tot een oordeel van het College voor de Rechten van de Mens zoals in de aangehaalde zaak, naast de band met de reguliere geschillenroute (GIP, deel 20) voor de uitvoeringskant van hetzelfde besluit.</w:t>
            </w:r>
          </w:p>
        </w:tc>
      </w:tr>
    </w:tbl>
    <w:p>
      <w:pPr>
        <w:spacing w:after="100"/>
      </w:pPr>
    </w:p>
    <w:p>
      <w:pPr>
        <w:pStyle w:val="Heading2"/>
        <w:spacing w:after="120" w:before="200"/>
      </w:pPr>
      <w:r>
        <w:rPr>
          <w:rFonts w:ascii="Georgia" w:cs="Georgia" w:eastAsia="Georgia" w:hAnsi="Georgia"/>
          <w:b/>
          <w:bCs/>
          <w:color w:val="2563A8"/>
          <w:sz w:val="28"/>
          <w:szCs w:val="28"/>
        </w:rPr>
        <w:t xml:space="preserve">Opdracht 24.6 — Toepassen op Bpf T&amp;I</w:t>
      </w:r>
    </w:p>
    <w:p>
      <w:pPr>
        <w:spacing w:after="140" w:line="300"/>
      </w:pPr>
      <w:r>
        <w:rPr>
          <w:rFonts w:ascii="Calibri" w:cs="Calibri" w:eastAsia="Calibri" w:hAnsi="Calibri"/>
          <w:b w:val="false"/>
          <w:bCs w:val="false"/>
          <w:i w:val="false"/>
          <w:iCs w:val="false"/>
          <w:sz w:val="22"/>
          <w:szCs w:val="22"/>
        </w:rPr>
        <w:t xml:space="preserve">Loop de vier vragen uit paragraaf 24.8 na voor Bpf T&amp;I en noteer bij elke vraag welke informatie je nog zou moeten opvragen om haar te kunnen beantwoorden (dit hoeft geen exacte kennis te zijn — het gaat om het juiste soort vraag stellen).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uniek modelantwoord. Beoordelingscriteria: vraag 1 wordt beantwoord met verwijzing naar de standaardmethode en toedelingsregels uit deel 16; vraag 2 vraagt om het fondsdocument waarin het risicoduur-argument (of een equivalent) wordt onderbouwd; vraag 3 vraagt specifiek naar bewijs van bestandspecifieke doorrekening, niet naar de enkele vermelding van “tien jaar, conform de wet”; vraag 4 vraagt naar de rol van de cao-tafel versus het fondsbestuur bij de totstandkoming van het besluit.</w:t>
            </w:r>
          </w:p>
        </w:tc>
      </w:tr>
    </w:tbl>
    <w:p>
      <w:pPr>
        <w:spacing w:after="100"/>
      </w:pPr>
    </w:p>
    <w:p>
      <w:pPr>
        <w:pStyle w:val="Heading2"/>
        <w:spacing w:after="120" w:before="200"/>
      </w:pPr>
      <w:r>
        <w:rPr>
          <w:rFonts w:ascii="Georgia" w:cs="Georgia" w:eastAsia="Georgia" w:hAnsi="Georgia"/>
          <w:b/>
          <w:bCs/>
          <w:color w:val="2563A8"/>
          <w:sz w:val="28"/>
          <w:szCs w:val="28"/>
        </w:rPr>
        <w:t xml:space="preserve">Opdracht 24.7 — Consequentie voor Van Doorns gelijkwaardigheidstoets</w:t>
      </w:r>
    </w:p>
    <w:p>
      <w:pPr>
        <w:spacing w:after="140" w:line="300"/>
      </w:pPr>
      <w:r>
        <w:rPr>
          <w:rFonts w:ascii="Calibri" w:cs="Calibri" w:eastAsia="Calibri" w:hAnsi="Calibri"/>
          <w:b w:val="false"/>
          <w:bCs w:val="false"/>
          <w:i w:val="false"/>
          <w:iCs w:val="false"/>
          <w:sz w:val="22"/>
          <w:szCs w:val="22"/>
        </w:rPr>
        <w:t xml:space="preserve">Leg uit, in maximaal vijf zinnen, waarom de juridische robuustheid van Bpf T&amp;I’s eigen invaarbesluit indirect relevant is voor Van Doorn Techniek, ook al is Van Doorn zelf geen fonds.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Van Doorns vrijstelling van Bpf T&amp;I rust op de eis dat zijn eigen regeling ten minste gelijkwaardig blijft aan de fondsregeling (deel 4). Als Bpf T&amp;I’s eigen invaarbesluit juridisch kwetsbaar blijkt — bijvoorbeeld omdat de onderbouwing van de spreidingstermijn ontoereikend is — kan dat de vergelijkingsmaatstaf voor de gelijkwaardigheidstoets zelf beïnvloeden of ter discussie stellen, met een indirect maar reëel effect op de houdbaarheid van Van Doorns eigen positie. Dit is een voorbeeld van hoe de fondsen- en verzekerde wereld, ondanks hun structurele verschillen, via de vrijstellingsconstructie toch met elkaar verbonden blijven.</w:t>
            </w:r>
          </w:p>
        </w:tc>
      </w:tr>
    </w:tbl>
    <w:p>
      <w:pPr>
        <w:spacing w:after="100"/>
      </w:pPr>
    </w:p>
    <w:p>
      <w:pPr>
        <w:pStyle w:val="Heading2"/>
        <w:spacing w:after="120" w:before="200"/>
      </w:pPr>
      <w:r>
        <w:rPr>
          <w:rFonts w:ascii="Georgia" w:cs="Georgia" w:eastAsia="Georgia" w:hAnsi="Georgia"/>
          <w:b/>
          <w:bCs/>
          <w:color w:val="2563A8"/>
          <w:sz w:val="28"/>
          <w:szCs w:val="28"/>
        </w:rPr>
        <w:t xml:space="preserve">Opdracht 24.8 — Reflectie op niveau 3 tot nu toe</w:t>
      </w:r>
    </w:p>
    <w:p>
      <w:pPr>
        <w:spacing w:after="140" w:line="300"/>
      </w:pPr>
      <w:r>
        <w:rPr>
          <w:rFonts w:ascii="Calibri" w:cs="Calibri" w:eastAsia="Calibri" w:hAnsi="Calibri"/>
          <w:b w:val="false"/>
          <w:bCs w:val="false"/>
          <w:i w:val="false"/>
          <w:iCs w:val="false"/>
          <w:sz w:val="22"/>
          <w:szCs w:val="22"/>
        </w:rPr>
        <w:t xml:space="preserve">Vergelijk in maximaal zes zinnen deel 22, 23 en 24: welk gemeenschappelijk instrument (de driestappentoets) is in alle drie de delen gebruikt, en op welke drie verschillende situaties is het toegepast?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Deel 22: de algemene toets voor leeftijdsonderscheid bij arbeidsvoorwaarden, met een voorbeeld waar zij faalde op noodzakelijkheid. Deel 23: toegepast op de keuze vóór of tegen eerbiedigende werking bij een verzekerde regeling, met de conclusie dat geen enkele route volledig onderscheidsvrij is. Deel 24: toegepast op de verdeling van het invaaroverschot bij een fonds, met een geslaagd voorbeeld waarin het risicoduur-argument de toets doorstond. Hetzelfde instrument, drie keer toegepast, met wisselende uitkomst — precies de aard van een open juridische norm.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2026-08-17T11:22:45.904Z</dcterms:created>
  <dcterms:modified xsi:type="dcterms:W3CDTF">2026-08-17T11:22:45.904Z</dcterms:modified>
</cp:coreProperties>
</file>

<file path=docProps/custom.xml><?xml version="1.0" encoding="utf-8"?>
<Properties xmlns="http://schemas.openxmlformats.org/officeDocument/2006/custom-properties" xmlns:vt="http://schemas.openxmlformats.org/officeDocument/2006/docPropsVTypes"/>
</file>