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25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25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heeft een andere functie dan deel 22-24: het is geen diepe toepassing op de hoofdcasus, maar een </w:t>
      </w:r>
      <w:r>
        <w:rPr>
          <w:rFonts w:ascii="Calibri" w:cs="Calibri" w:eastAsia="Calibri" w:hAnsi="Calibri"/>
          <w:b/>
          <w:bCs/>
          <w:i w:val="false"/>
          <w:iCs w:val="false"/>
          <w:sz w:val="22"/>
          <w:szCs w:val="22"/>
        </w:rPr>
        <w:t xml:space="preserve">verbreding van het blikveld</w:t>
      </w:r>
      <w:r>
        <w:rPr>
          <w:rFonts w:ascii="Calibri" w:cs="Calibri" w:eastAsia="Calibri" w:hAnsi="Calibri"/>
          <w:b w:val="false"/>
          <w:bCs w:val="false"/>
          <w:i w:val="false"/>
          <w:iCs w:val="false"/>
          <w:sz w:val="22"/>
          <w:szCs w:val="22"/>
        </w:rPr>
        <w:t xml:space="preserve">. Twee dingen moeten landen:</w:t>
      </w:r>
    </w:p>
    <w:p>
      <w:pPr>
        <w:pStyle w:val="ListParagraph"/>
        <w:numPr>
          <w:ilvl w:val="0"/>
          <w:numId w:val="1"/>
        </w:numPr>
        <w:spacing w:after="80"/>
      </w:pPr>
      <w:r>
        <w:rPr>
          <w:rFonts w:ascii="Calibri" w:cs="Calibri" w:eastAsia="Calibri" w:hAnsi="Calibri"/>
          <w:sz w:val="22"/>
          <w:szCs w:val="22"/>
        </w:rPr>
        <w:t xml:space="preserve">1. IORP II heeft de governance-infrastructuur versterkt die bij eerdere delen (16, 24) al relevant bleek — sleutelfuncties en ERB zijn geen losstaand onderwerp maar een fundament onder eerder besproken beslissingen.</w:t>
      </w:r>
    </w:p>
    <w:p>
      <w:pPr>
        <w:pStyle w:val="ListParagraph"/>
        <w:numPr>
          <w:ilvl w:val="0"/>
          <w:numId w:val="1"/>
        </w:numPr>
        <w:spacing w:after="80"/>
      </w:pPr>
      <w:r>
        <w:rPr>
          <w:rFonts w:ascii="Calibri" w:cs="Calibri" w:eastAsia="Calibri" w:hAnsi="Calibri"/>
          <w:sz w:val="22"/>
          <w:szCs w:val="22"/>
        </w:rPr>
        <w:t xml:space="preserve">2. Weten wanneer iets buiten je eigen expertise valt, is zelf een vorm van vakbekwaamheid. Dit deel modelleert bewust het signaleren en doorverwijzen, in plaats van te doen alsof elk pensioenvraagstuk door één adviseur volledig kan worden afgehandeld.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deze cursus tot nu toe binnen Nederland bleef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IORP II: doel en achtergrond, opdracht 25.1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sleutelfuncties, opdracht 25.2 en 25.3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ERB en de link met deel 24, opdracht 25.4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Grensoverschrijdende CWO, opdracht 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Domeinafbakening als belemmering, opdracht 25.6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Signaleren en doorverwijzen, opdracht 25.7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Reflectie, opdracht 25.8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Erken expliciet dat dit deel een ander karakter heeft: minder diep toegepast op Van Doorn en de andere hoofdcasussen, meer verbredend. Dat is geen tekortkoming van het deel maar een bewuste opzet — niet elk onderwerp in een expertopleiding hoeft direct herleidbaar te zijn tot de lopende casus.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IORP II: doel en achtergrond.</w:t>
      </w:r>
      <w:r>
        <w:rPr>
          <w:rFonts w:ascii="Calibri" w:cs="Calibri" w:eastAsia="Calibri" w:hAnsi="Calibri"/>
          <w:b w:val="false"/>
          <w:bCs w:val="false"/>
          <w:i w:val="false"/>
          <w:iCs w:val="false"/>
          <w:sz w:val="22"/>
          <w:szCs w:val="22"/>
        </w:rPr>
        <w:t xml:space="preserve"> Houd dit kort en feitelijk. Het belangrijkste inzicht: de richtlijn had elders in Europa meer impact dan in Nederland, vanwege de reeds hoge dekkingsgraad van de Nederlandse tweede pijler. Dit relativeert het gewicht van dit onderwerp voor de dagelijkse praktijk zonder het te bagatelliseren.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 sleutelfuncties.</w:t>
      </w:r>
      <w:r>
        <w:rPr>
          <w:rFonts w:ascii="Calibri" w:cs="Calibri" w:eastAsia="Calibri" w:hAnsi="Calibri"/>
          <w:b w:val="false"/>
          <w:bCs w:val="false"/>
          <w:i w:val="false"/>
          <w:iCs w:val="false"/>
          <w:sz w:val="22"/>
          <w:szCs w:val="22"/>
        </w:rPr>
        <w:t xml:space="preserve"> Dit is de meest tastbare stof van het dagdeel. Bij opdracht 25.2: laat de groep de drie functies concreet koppelen aan taken die in eerdere delen al zijn langsgekomen (de rekenmethodiek uit deel 24 is actuariaat, de dekkingsgraadsignalering uit deel 16 is risicobeheer). Dit voorkomt dat sleutelfuncties als abstract jargon overkomen.</w:t>
      </w:r>
    </w:p>
    <w:p>
      <w:pPr>
        <w:spacing w:after="140" w:line="300"/>
      </w:pPr>
      <w:r>
        <w:rPr>
          <w:rFonts w:ascii="Calibri" w:cs="Calibri" w:eastAsia="Calibri" w:hAnsi="Calibri"/>
          <w:b w:val="false"/>
          <w:bCs w:val="false"/>
          <w:i w:val="false"/>
          <w:iCs w:val="false"/>
          <w:sz w:val="22"/>
          <w:szCs w:val="22"/>
        </w:rPr>
        <w:t xml:space="preserve">Bij opdracht 25.3: benadruk het zelfcontrole-risico bij het combineren van functies — dit is een governance-principe dat breder toepasbaar is dan alleen pensioenfondsen, en deelnemers herkennen het patroon mogelijk uit andere contexten.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ERB.</w:t>
      </w:r>
      <w:r>
        <w:rPr>
          <w:rFonts w:ascii="Calibri" w:cs="Calibri" w:eastAsia="Calibri" w:hAnsi="Calibri"/>
          <w:b w:val="false"/>
          <w:bCs w:val="false"/>
          <w:i w:val="false"/>
          <w:iCs w:val="false"/>
          <w:sz w:val="22"/>
          <w:szCs w:val="22"/>
        </w:rPr>
        <w:t xml:space="preserve"> Dit is het conceptuele hoogtepunt van het dagdeel: de koppeling tussen een governance-verplichting (ERB) en de juridische verdedigbaarheid uit deel 24. Laat opdracht 25.4 goed doordacht maken — het inzicht dat “goede governance vandaag” direct “sterkere juridische positie morgen” oplevert, is een krachtig argument voor elk fondsbestuur dat overweegt de ERB als formaliteit te behandelen.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Grensoverschrijdende CWO.</w:t>
      </w:r>
      <w:r>
        <w:rPr>
          <w:rFonts w:ascii="Calibri" w:cs="Calibri" w:eastAsia="Calibri" w:hAnsi="Calibri"/>
          <w:b w:val="false"/>
          <w:bCs w:val="false"/>
          <w:i w:val="false"/>
          <w:iCs w:val="false"/>
          <w:sz w:val="22"/>
          <w:szCs w:val="22"/>
        </w:rPr>
        <w:t xml:space="preserve"> Kort en vergelijkend. Het punt: dezelfde basisstructuur als deel 16, met een extra laag complexiteit. Geen nieuwe fundamenten, alleen een uitbreiding.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Domeinafbakening.</w:t>
      </w:r>
      <w:r>
        <w:rPr>
          <w:rFonts w:ascii="Calibri" w:cs="Calibri" w:eastAsia="Calibri" w:hAnsi="Calibri"/>
          <w:b w:val="false"/>
          <w:bCs w:val="false"/>
          <w:i w:val="false"/>
          <w:iCs w:val="false"/>
          <w:sz w:val="22"/>
          <w:szCs w:val="22"/>
        </w:rPr>
        <w:t xml:space="preserve"> Dit is een verrassend, weinig bekend punt en verdient aandacht. Bij opdracht 25.6: laat de groep zelf het advies van de fictieve adviseur bekritiseren vóórdat je de reader-uitleg erbij haalt — “Nederland heeft het beste stelsel” klinkt overtuigend maar is, zoals de groep zelf kan ontdekken, niet hetzelfde argument als “een Nederlands fonds is de beste uitvoeringsvorm.”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Signaleren en doorverwijzen.</w:t>
      </w:r>
      <w:r>
        <w:rPr>
          <w:rFonts w:ascii="Calibri" w:cs="Calibri" w:eastAsia="Calibri" w:hAnsi="Calibri"/>
          <w:b w:val="false"/>
          <w:bCs w:val="false"/>
          <w:i w:val="false"/>
          <w:iCs w:val="false"/>
          <w:sz w:val="22"/>
          <w:szCs w:val="22"/>
        </w:rPr>
        <w:t xml:space="preserve"> Dit is het belangrijkste vaardigheidsdoel van het dagdeel. Bij opdracht 25.7: bespreek expliciet waarom “ik ga hier even induiken” het verkeerde antwoord is — het risico van halfbakken advies buiten je eigen expertise is groter dan het risico van eerlijk doorverwijzen. Koppel dit terug aan de kernzin uit deel 21 en de eerlijkheid-over-onzekerheid-criteria uit de capstones.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Reflectie.</w:t>
      </w:r>
      <w:r>
        <w:rPr>
          <w:rFonts w:ascii="Calibri" w:cs="Calibri" w:eastAsia="Calibri" w:hAnsi="Calibri"/>
          <w:b w:val="false"/>
          <w:bCs w:val="false"/>
          <w:i w:val="false"/>
          <w:iCs w:val="false"/>
          <w:sz w:val="22"/>
          <w:szCs w:val="22"/>
        </w:rPr>
        <w:t xml:space="preserve"> Sluit rustig af met opdracht 25.8 — dit deel vraagt om een andere soort waardering dan de vorige drie, en dat mag expliciet worden benoemd.</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“Moeten we IORP II uit ons hoofd kennen voor een examen?”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kernbegrippen (sleutelfuncties, ERB, three lines of defence) zijn goed om te kennen; de fijnmazige implementatiedetails zijn specialistenkennis die buiten het reguliere examenniveau valt. Focus op het begrijpen van de onderliggende governance-logica, niet op het uit het hoofd kennen van artikelnummers.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PPI ook onderworpen aan IORP II?”</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IORP II ziet specifiek op instellingen voor bedrijfspensioenvoorziening (pensioenfondsen in brede zin); een PPI en een verzekeraar vallen onder een ander Europees kader (voor verzekeraars: Solvency II, al eerder genoemd in deel 12). Dit onderstreept opnieuw het structurele verschil tussen de fondsen- en verzekeringswereld dat door de hele cursus loopt.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“Wanneer wordt dit deel praktisch relevant voor een gemiddelde adviseur?”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Zelden dagelijks, maar wel bij multinationale klanten, bij fondsen met internationale ambities, of bij werkgevers met personeel over de grens. De vaardigheid om dat moment te herkennen is belangrijker dan het paraat hebben van de volledige inhoud.</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Een eenvoudig schema van de drie sleutelfuncties en hun onderlinge scheiding</w:t>
      </w:r>
    </w:p>
    <w:p>
      <w:pPr>
        <w:pStyle w:val="ListParagraph"/>
        <w:numPr>
          <w:ilvl w:val="0"/>
          <w:numId w:val="1"/>
        </w:numPr>
        <w:spacing w:after="80"/>
      </w:pPr>
      <w:r>
        <w:rPr>
          <w:rFonts w:ascii="Calibri" w:cs="Calibri" w:eastAsia="Calibri" w:hAnsi="Calibri"/>
          <w:sz w:val="22"/>
          <w:szCs w:val="22"/>
        </w:rPr>
        <w:t xml:space="preserve">De vergelijkingstabel uit opdracht 25.5, deels vooraf ingevuld</w:t>
      </w:r>
    </w:p>
    <w:p>
      <w:pPr>
        <w:pStyle w:val="ListParagraph"/>
        <w:numPr>
          <w:ilvl w:val="0"/>
          <w:numId w:val="1"/>
        </w:numPr>
        <w:spacing w:after="80"/>
      </w:pPr>
      <w:r>
        <w:rPr>
          <w:rFonts w:ascii="Calibri" w:cs="Calibri" w:eastAsia="Calibri" w:hAnsi="Calibri"/>
          <w:sz w:val="22"/>
          <w:szCs w:val="22"/>
        </w:rPr>
        <w:t xml:space="preserve">Actuele stand van de IORP II-herziening gecontroleerd vóór de sessie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25.6, 25.7 en 25.8. Dit sluit de eerste vier delen van niveau 3 af. Kondig aan dat de volgende delen (26 en verder, buiten het bestek van dit lesblok) DGA en zzp, productontwikkeling, actuariële grondslagen en de masterproef behandelen — met dezelfde combinatie van juridische diepgang en praktische toepassing die deel 22 tot en met 25 heeft gekenmerkt.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2026-08-17T11:22:46.006Z</dcterms:created>
  <dcterms:modified xsi:type="dcterms:W3CDTF">2026-08-17T11:22:46.007Z</dcterms:modified>
</cp:coreProperties>
</file>

<file path=docProps/custom.xml><?xml version="1.0" encoding="utf-8"?>
<Properties xmlns="http://schemas.openxmlformats.org/officeDocument/2006/custom-properties" xmlns:vt="http://schemas.openxmlformats.org/officeDocument/2006/docPropsVTypes"/>
</file>