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25 — Grensoverschrijdend pensioen en IORP II</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25 — Grensoverschrijdend pensioen en IORP II</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25.1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doel en de kern van de IORP II-richtlijn beschrijven;</w:t>
      </w:r>
    </w:p>
    <w:p>
      <w:pPr>
        <w:pStyle w:val="ListParagraph"/>
        <w:numPr>
          <w:ilvl w:val="0"/>
          <w:numId w:val="1"/>
        </w:numPr>
        <w:spacing w:after="80"/>
      </w:pPr>
      <w:r>
        <w:rPr>
          <w:rFonts w:ascii="Calibri" w:cs="Calibri" w:eastAsia="Calibri" w:hAnsi="Calibri"/>
          <w:sz w:val="22"/>
          <w:szCs w:val="22"/>
        </w:rPr>
        <w:t xml:space="preserve">2. de drie sleutelfuncties (risicobeheer, interne audit, actuariaat) en hun onderlinge scheiding toelichten;</w:t>
      </w:r>
    </w:p>
    <w:p>
      <w:pPr>
        <w:pStyle w:val="ListParagraph"/>
        <w:numPr>
          <w:ilvl w:val="0"/>
          <w:numId w:val="1"/>
        </w:numPr>
        <w:spacing w:after="80"/>
      </w:pPr>
      <w:r>
        <w:rPr>
          <w:rFonts w:ascii="Calibri" w:cs="Calibri" w:eastAsia="Calibri" w:hAnsi="Calibri"/>
          <w:sz w:val="22"/>
          <w:szCs w:val="22"/>
        </w:rPr>
        <w:t xml:space="preserve">3. de eigenrisicobeoordeling (ERB) plaatsen binnen het governancekader van een fonds;</w:t>
      </w:r>
    </w:p>
    <w:p>
      <w:pPr>
        <w:pStyle w:val="ListParagraph"/>
        <w:numPr>
          <w:ilvl w:val="0"/>
          <w:numId w:val="1"/>
        </w:numPr>
        <w:spacing w:after="80"/>
      </w:pPr>
      <w:r>
        <w:rPr>
          <w:rFonts w:ascii="Calibri" w:cs="Calibri" w:eastAsia="Calibri" w:hAnsi="Calibri"/>
          <w:sz w:val="22"/>
          <w:szCs w:val="22"/>
        </w:rPr>
        <w:t xml:space="preserve">4. grensoverschrijdende collectieve waardeoverdracht onderscheiden van een reguliere, binnenlandse CWO;</w:t>
      </w:r>
    </w:p>
    <w:p>
      <w:pPr>
        <w:pStyle w:val="ListParagraph"/>
        <w:numPr>
          <w:ilvl w:val="0"/>
          <w:numId w:val="1"/>
        </w:numPr>
        <w:spacing w:after="80"/>
      </w:pPr>
      <w:r>
        <w:rPr>
          <w:rFonts w:ascii="Calibri" w:cs="Calibri" w:eastAsia="Calibri" w:hAnsi="Calibri"/>
          <w:sz w:val="22"/>
          <w:szCs w:val="22"/>
        </w:rPr>
        <w:t xml:space="preserve">5. de structurele belemmering die het Nederlandse pensioenfonds kent bij grensoverschrijdende uitvoering benoemen;</w:t>
      </w:r>
    </w:p>
    <w:p>
      <w:pPr>
        <w:pStyle w:val="ListParagraph"/>
        <w:numPr>
          <w:ilvl w:val="0"/>
          <w:numId w:val="1"/>
        </w:numPr>
        <w:spacing w:after="80"/>
      </w:pPr>
      <w:r>
        <w:rPr>
          <w:rFonts w:ascii="Calibri" w:cs="Calibri" w:eastAsia="Calibri" w:hAnsi="Calibri"/>
          <w:sz w:val="22"/>
          <w:szCs w:val="22"/>
        </w:rPr>
        <w:t xml:space="preserve">6. beoordelen wanneer grensoverschrijdende aspecten relevant worden voor een dossier als Delta Chemie of een internationaal concern.</w:t>
      </w:r>
    </w:p>
    <w:p>
      <w:pPr>
        <w:spacing w:after="100"/>
      </w:pPr>
    </w:p>
    <w:p>
      <w:pPr>
        <w:pStyle w:val="Heading2"/>
        <w:spacing w:after="120" w:before="200"/>
      </w:pPr>
      <w:r>
        <w:rPr>
          <w:rFonts w:ascii="Georgia" w:cs="Georgia" w:eastAsia="Georgia" w:hAnsi="Georgia"/>
          <w:b/>
          <w:bCs/>
          <w:color w:val="2563A8"/>
          <w:sz w:val="28"/>
          <w:szCs w:val="28"/>
        </w:rPr>
        <w:t xml:space="preserve">25.2 Waarom dit deel, en waarom hier</w:t>
      </w:r>
    </w:p>
    <w:p>
      <w:pPr>
        <w:spacing w:after="140" w:line="300"/>
      </w:pPr>
      <w:r>
        <w:rPr>
          <w:rFonts w:ascii="Calibri" w:cs="Calibri" w:eastAsia="Calibri" w:hAnsi="Calibri"/>
          <w:b w:val="false"/>
          <w:bCs w:val="false"/>
          <w:i w:val="false"/>
          <w:iCs w:val="false"/>
          <w:sz w:val="22"/>
          <w:szCs w:val="22"/>
        </w:rPr>
        <w:t xml:space="preserve">Deze cursus heeft zich tot nu toe volledig binnen de Nederlandse rechtsorde afgespeeld. Toch is die begrenzing een keuze, geen natuurwet: Nederlandse werkgevers hebben buitenlandse werknemers, Nederlandse fondsen kunnen internationale ambities hebben, en multinationale concerns — zoals de Amerikaanse moedermaatschappij die in deel 22 al even voorbijkwam — brengen soms een grensoverschrijdende dimensie in een overigens Nederlands pensioendossier. Dit deel geeft daarvoor het kader.</w:t>
      </w:r>
    </w:p>
    <w:p>
      <w:pPr>
        <w:spacing w:after="100"/>
      </w:pPr>
    </w:p>
    <w:p>
      <w:pPr>
        <w:pStyle w:val="Heading2"/>
        <w:spacing w:after="120" w:before="200"/>
      </w:pPr>
      <w:r>
        <w:rPr>
          <w:rFonts w:ascii="Georgia" w:cs="Georgia" w:eastAsia="Georgia" w:hAnsi="Georgia"/>
          <w:b/>
          <w:bCs/>
          <w:color w:val="2563A8"/>
          <w:sz w:val="28"/>
          <w:szCs w:val="28"/>
        </w:rPr>
        <w:t xml:space="preserve">25.3 IORP II: doel en achtergrond</w:t>
      </w:r>
    </w:p>
    <w:p>
      <w:pPr>
        <w:spacing w:after="140" w:line="300"/>
      </w:pPr>
      <w:r>
        <w:rPr>
          <w:rFonts w:ascii="Calibri" w:cs="Calibri" w:eastAsia="Calibri" w:hAnsi="Calibri"/>
          <w:b w:val="false"/>
          <w:bCs w:val="false"/>
          <w:i w:val="false"/>
          <w:iCs w:val="false"/>
          <w:sz w:val="22"/>
          <w:szCs w:val="22"/>
        </w:rPr>
        <w:t xml:space="preserve">&lt;cite index=“141-1”&gt;De IORP-richtlijn is de Europese richtlijn voor pensioenfondsen. Sinds 13 januari 2019 is de herziene versie, IORP II, van kracht. De herziening beoogt het toezicht op Europese pensioenfondsen te harmoniseren, transparantie te vergroten, grensoverschrijdende activiteiten te faciliteren en de governance-eisen te wijzigen.&lt;/cite&gt;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Beperkte impact in Nederland, aanzienlijke impact elders.</w:t>
      </w:r>
      <w:r>
        <w:rPr>
          <w:rFonts w:ascii="Calibri" w:cs="Calibri" w:eastAsia="Calibri" w:hAnsi="Calibri"/>
          <w:b w:val="false"/>
          <w:bCs w:val="false"/>
          <w:i w:val="false"/>
          <w:iCs w:val="false"/>
          <w:sz w:val="22"/>
          <w:szCs w:val="22"/>
        </w:rPr>
        <w:t xml:space="preserve"> &lt;cite index=“141-1”&gt;In Nederland bouwt circa 90% van de werknemers al pensioen op via de werkgever, waardoor de herziene richtlijn hier minder impact heeft op de sector dan in andere Europese landen&lt;/cite&gt; waar de tweede pijler minder ver ontwikkeld is. Dit relativeert het belang van IORP II voor de dagelijkse Nederlandse adviespraktijk, zonder het onbelangrijk te maken.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Waar IORP II in Nederland wél impact had.</w:t>
      </w:r>
      <w:r>
        <w:rPr>
          <w:rFonts w:ascii="Calibri" w:cs="Calibri" w:eastAsia="Calibri" w:hAnsi="Calibri"/>
          <w:b w:val="false"/>
          <w:bCs w:val="false"/>
          <w:i w:val="false"/>
          <w:iCs w:val="false"/>
          <w:sz w:val="22"/>
          <w:szCs w:val="22"/>
        </w:rPr>
        <w:t xml:space="preserve"> &lt;cite index=“144-1”&gt;Voornamelijk op het gebied van risicomanagement en de eigenrisicobeoordeling (ERB), governance — met name de inrichting van sleutelfuncties — ESG, en communicatie met pensioengerechtigden.&lt;/cite&gt;</w:t>
      </w:r>
    </w:p>
    <w:p>
      <w:pPr>
        <w:spacing w:after="100"/>
      </w:pPr>
    </w:p>
    <w:p>
      <w:pPr>
        <w:pStyle w:val="Heading2"/>
        <w:spacing w:after="120" w:before="200"/>
      </w:pPr>
      <w:r>
        <w:rPr>
          <w:rFonts w:ascii="Georgia" w:cs="Georgia" w:eastAsia="Georgia" w:hAnsi="Georgia"/>
          <w:b/>
          <w:bCs/>
          <w:color w:val="2563A8"/>
          <w:sz w:val="28"/>
          <w:szCs w:val="28"/>
        </w:rPr>
        <w:t xml:space="preserve">25.4 De drie sleutelfuncties</w:t>
      </w:r>
    </w:p>
    <w:p>
      <w:pPr>
        <w:spacing w:after="140" w:line="300"/>
      </w:pPr>
      <w:r>
        <w:rPr>
          <w:rFonts w:ascii="Calibri" w:cs="Calibri" w:eastAsia="Calibri" w:hAnsi="Calibri"/>
          <w:b w:val="false"/>
          <w:bCs w:val="false"/>
          <w:i w:val="false"/>
          <w:iCs w:val="false"/>
          <w:sz w:val="22"/>
          <w:szCs w:val="22"/>
        </w:rPr>
        <w:t xml:space="preserve">&lt;cite index=“144-1”&gt;De kern van IORP II ligt in de scheiding van de “three lines of defence”: uitvoering, advies en controle. Deze drie functies mogen niet bij één persoon belegd worden.&lt;/cite&gt; &lt;cite index=“145-1”&gt;Pensioenfondsen moeten sleutelfuncties inrichten voor risicobeheer, interne audit en actuariaat.&lt;/cite&gt;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Risicobeheer.</w:t>
      </w:r>
      <w:r>
        <w:rPr>
          <w:rFonts w:ascii="Calibri" w:cs="Calibri" w:eastAsia="Calibri" w:hAnsi="Calibri"/>
          <w:b w:val="false"/>
          <w:bCs w:val="false"/>
          <w:i w:val="false"/>
          <w:iCs w:val="false"/>
          <w:sz w:val="22"/>
          <w:szCs w:val="22"/>
        </w:rPr>
        <w:t xml:space="preserve"> Identificeert en bewaakt risico’s op fondsniveau — direct verwant aan de evenwichtige-belangenafweging uit deel 16 en 24, maar dan als permanente governancefunctie in plaats van een eenmalige toets bij invaren.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Interne audit.</w:t>
      </w:r>
      <w:r>
        <w:rPr>
          <w:rFonts w:ascii="Calibri" w:cs="Calibri" w:eastAsia="Calibri" w:hAnsi="Calibri"/>
          <w:b w:val="false"/>
          <w:bCs w:val="false"/>
          <w:i w:val="false"/>
          <w:iCs w:val="false"/>
          <w:sz w:val="22"/>
          <w:szCs w:val="22"/>
        </w:rPr>
        <w:t xml:space="preserve"> &lt;cite index=“145-1”&gt;Deze sleutelfunctie ontbrak bij de meeste fondsen vóór de invoering van IORP II.&lt;/cite&gt; Zij beoordeelt onafhankelijk of het fonds zijn eigen processen en beheersingsmaatregelen naleeft — een controlelaag die los staat van zowel de uitvoering als het risicobeheer zelf.</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Actuariaat.</w:t>
      </w:r>
      <w:r>
        <w:rPr>
          <w:rFonts w:ascii="Calibri" w:cs="Calibri" w:eastAsia="Calibri" w:hAnsi="Calibri"/>
          <w:b w:val="false"/>
          <w:bCs w:val="false"/>
          <w:i w:val="false"/>
          <w:iCs w:val="false"/>
          <w:sz w:val="22"/>
          <w:szCs w:val="22"/>
        </w:rPr>
        <w:t xml:space="preserve"> Bewaakt de technische, rekenkundige onderbouwing van voorzieningen en berekeningen — relevant voor precies het soort bestandspecifieke doorrekening dat in deel 24 als doorslaggevend werd geïdentificeerd bij de spreidingstermijn.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Effect van de scheiding.</w:t>
      </w:r>
      <w:r>
        <w:rPr>
          <w:rFonts w:ascii="Calibri" w:cs="Calibri" w:eastAsia="Calibri" w:hAnsi="Calibri"/>
          <w:b w:val="false"/>
          <w:bCs w:val="false"/>
          <w:i w:val="false"/>
          <w:iCs w:val="false"/>
          <w:sz w:val="22"/>
          <w:szCs w:val="22"/>
        </w:rPr>
        <w:t xml:space="preserve"> &lt;cite index=“145-1”&gt;Ruim de helft van de pensioenfondsen geeft aan dat de sleutelfuncties hebben bijgedragen aan een betere scheiding tussen advies, uitvoering en controle, en aan een hoger niveau van risicobeheer, interne audit en actuariaat.&lt;/cite&gt;</w:t>
      </w:r>
    </w:p>
    <w:p>
      <w:pPr>
        <w:spacing w:after="100"/>
      </w:pPr>
    </w:p>
    <w:p>
      <w:pPr>
        <w:pStyle w:val="Heading2"/>
        <w:spacing w:after="120" w:before="200"/>
      </w:pPr>
      <w:r>
        <w:rPr>
          <w:rFonts w:ascii="Georgia" w:cs="Georgia" w:eastAsia="Georgia" w:hAnsi="Georgia"/>
          <w:b/>
          <w:bCs/>
          <w:color w:val="2563A8"/>
          <w:sz w:val="28"/>
          <w:szCs w:val="28"/>
        </w:rPr>
        <w:t xml:space="preserve">25.5 De eigenrisicobeoordeling (ERB)</w:t>
      </w:r>
    </w:p>
    <w:p>
      <w:pPr>
        <w:spacing w:after="140" w:line="300"/>
      </w:pPr>
      <w:r>
        <w:rPr>
          <w:rFonts w:ascii="Calibri" w:cs="Calibri" w:eastAsia="Calibri" w:hAnsi="Calibri"/>
          <w:b w:val="false"/>
          <w:bCs w:val="false"/>
          <w:i w:val="false"/>
          <w:iCs w:val="false"/>
          <w:sz w:val="22"/>
          <w:szCs w:val="22"/>
        </w:rPr>
        <w:t xml:space="preserve">&lt;cite index=“145-1”&gt;Pensioenfondsen waren aanvankelijk kritisch over de verplichte ERB, maar zijn er nu overwegend positief over.&lt;/cite&gt; De ERB is een periodieke, eigen beoordeling door het fonds van zijn risico’s op langere termijn — vergelijkbaar in geest met de evenwichtige belangenafweging bij invaren (deel 16), maar dan als doorlopend, structureel governance-instrument in plaats van een eenmalige transitiebeoordeling.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koppeling met eerdere delen.</w:t>
      </w:r>
      <w:r>
        <w:rPr>
          <w:rFonts w:ascii="Calibri" w:cs="Calibri" w:eastAsia="Calibri" w:hAnsi="Calibri"/>
          <w:b w:val="false"/>
          <w:bCs w:val="false"/>
          <w:i w:val="false"/>
          <w:iCs w:val="false"/>
          <w:sz w:val="22"/>
          <w:szCs w:val="22"/>
        </w:rPr>
        <w:t xml:space="preserve"> Een fonds dat zijn ERB serieus uitvoert, beschikt structureel over precies het soort bestandspecifieke risicoanalyse die in deel 24 werd geïdentificeerd als de sterkste vorm van juridische onderbouwing. IORP II heeft daarmee, indirect, de governance-infrastructuur gecreëerd die de juridische verdedigbaarheid van latere besluiten — zoals een invaarbesluit — versterkt.</w:t>
      </w:r>
    </w:p>
    <w:p>
      <w:pPr>
        <w:spacing w:after="100"/>
      </w:pPr>
    </w:p>
    <w:p>
      <w:pPr>
        <w:pStyle w:val="Heading2"/>
        <w:spacing w:after="120" w:before="200"/>
      </w:pPr>
      <w:r>
        <w:rPr>
          <w:rFonts w:ascii="Georgia" w:cs="Georgia" w:eastAsia="Georgia" w:hAnsi="Georgia"/>
          <w:b/>
          <w:bCs/>
          <w:color w:val="2563A8"/>
          <w:sz w:val="28"/>
          <w:szCs w:val="28"/>
        </w:rPr>
        <w:t xml:space="preserve">25.6 Grensoverschrijdende collectieve waardeoverdracht</w:t>
      </w:r>
    </w:p>
    <w:p>
      <w:pPr>
        <w:spacing w:after="140" w:line="300"/>
      </w:pPr>
      <w:r>
        <w:rPr>
          <w:rFonts w:ascii="Calibri" w:cs="Calibri" w:eastAsia="Calibri" w:hAnsi="Calibri"/>
          <w:b w:val="false"/>
          <w:bCs w:val="false"/>
          <w:i w:val="false"/>
          <w:iCs w:val="false"/>
          <w:sz w:val="22"/>
          <w:szCs w:val="22"/>
        </w:rPr>
        <w:t xml:space="preserve">&lt;cite index=“144-1”&gt;IORP II faciliteert grensoverschrijdende collectieve waardeoverdrachten door de positie van pensioengerechtigden te versterken.&lt;/cite&gt;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hier nieuw aan is ten opzichte van deel 16.</w:t>
      </w:r>
      <w:r>
        <w:rPr>
          <w:rFonts w:ascii="Calibri" w:cs="Calibri" w:eastAsia="Calibri" w:hAnsi="Calibri"/>
          <w:b w:val="false"/>
          <w:bCs w:val="false"/>
          <w:i w:val="false"/>
          <w:iCs w:val="false"/>
          <w:sz w:val="22"/>
          <w:szCs w:val="22"/>
        </w:rPr>
        <w:t xml:space="preserve"> De reguliere CWO uit deel 16 speelde zich af tussen Nederlandse uitvoerders. Een grensoverschrijdende CWO brengt een extra laag: welke lidstaat is bevoegd, welk toezichtregime is van toepassing, en hoe wordt de positie van de deelnemer — inclusief het individuele bezwaarrecht dat in deel 16 zo centraal stond — internationaal gewaarborgd? IORP II regelt dit door minimumwaarborgen voor de betrokken pensioengerechtigden te stellen, ongeacht in welke lidstaat de ontvangende instelling is gevestigd.</w:t>
      </w:r>
    </w:p>
    <w:p>
      <w:pPr>
        <w:spacing w:after="100"/>
      </w:pPr>
    </w:p>
    <w:p>
      <w:pPr>
        <w:pStyle w:val="Heading2"/>
        <w:spacing w:after="120" w:before="200"/>
      </w:pPr>
      <w:r>
        <w:rPr>
          <w:rFonts w:ascii="Georgia" w:cs="Georgia" w:eastAsia="Georgia" w:hAnsi="Georgia"/>
          <w:b/>
          <w:bCs/>
          <w:color w:val="2563A8"/>
          <w:sz w:val="28"/>
          <w:szCs w:val="28"/>
        </w:rPr>
        <w:t xml:space="preserve">25.7 De structurele belemmering voor het Nederlandse pensioenfonds</w:t>
      </w:r>
    </w:p>
    <w:p>
      <w:pPr>
        <w:spacing w:after="140" w:line="300"/>
      </w:pPr>
      <w:r>
        <w:rPr>
          <w:rFonts w:ascii="Calibri" w:cs="Calibri" w:eastAsia="Calibri" w:hAnsi="Calibri"/>
          <w:b w:val="false"/>
          <w:bCs w:val="false"/>
          <w:i w:val="false"/>
          <w:iCs w:val="false"/>
          <w:sz w:val="22"/>
          <w:szCs w:val="22"/>
        </w:rPr>
        <w:t xml:space="preserve">Een minder bekend, maar voor de internationale adviespraktijk relevant punt: het Nederlandse pensioenfonds is, ondanks een vergunning voor grensoverschrijdende activiteiten, niet per definitie de meest aantrekkelijke uitvoerder voor buitenlandse regelingen.</w:t>
      </w:r>
    </w:p>
    <w:p>
      <w:pPr>
        <w:spacing w:after="140" w:line="300"/>
      </w:pPr>
      <w:r>
        <w:rPr>
          <w:rFonts w:ascii="Calibri" w:cs="Calibri" w:eastAsia="Calibri" w:hAnsi="Calibri"/>
          <w:b w:val="false"/>
          <w:bCs w:val="false"/>
          <w:i w:val="false"/>
          <w:iCs w:val="false"/>
          <w:sz w:val="22"/>
          <w:szCs w:val="22"/>
        </w:rPr>
        <w:t xml:space="preserve">&lt;cite index=“149-1”&gt;De Pensioenwet staat pensioenfondsen met een DNB-vergunning toe grensoverschrijdende activiteiten te verrichten. Toch is het pensioenfonds niet optimaal toegesneden op de grensoverschrijdende uitvoering van pensioenregelingen, vanwege enkele voorwaarden die nauw samenhangen met het Nederlandse stelsel van arbeidsverhoudingen — in de eerste plaats de domeinafbakening.&lt;/cite&gt;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domeinafbakening hier betekent.</w:t>
      </w:r>
      <w:r>
        <w:rPr>
          <w:rFonts w:ascii="Calibri" w:cs="Calibri" w:eastAsia="Calibri" w:hAnsi="Calibri"/>
          <w:b w:val="false"/>
          <w:bCs w:val="false"/>
          <w:i w:val="false"/>
          <w:iCs w:val="false"/>
          <w:sz w:val="22"/>
          <w:szCs w:val="22"/>
        </w:rPr>
        <w:t xml:space="preserve"> Het Nederlandse fondslandschap is historisch ingericht rond de verplichtstelling per bedrijfstak (deel 4) — een structuur die niet zonder meer aansluit bij een buitenlandse regeling die geen equivalent van die sectorale indeling kent. Een Nederlands fonds dat een buitenlandse regeling zou willen uitvoeren, moet dus buiten zijn eigen, vertrouwde domeinlogica opereren.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Praktische consequentie.</w:t>
      </w:r>
      <w:r>
        <w:rPr>
          <w:rFonts w:ascii="Calibri" w:cs="Calibri" w:eastAsia="Calibri" w:hAnsi="Calibri"/>
          <w:b w:val="false"/>
          <w:bCs w:val="false"/>
          <w:i w:val="false"/>
          <w:iCs w:val="false"/>
          <w:sz w:val="22"/>
          <w:szCs w:val="22"/>
        </w:rPr>
        <w:t xml:space="preserve"> Voor een multinational die overweegt pensioenregelingen van meerdere landen te centraliseren, is een Nederlands fonds niet automatisch de logische keuze, ook al is Nederland een land met een sterk ontwikkeld tweedepijlerstelsel. Een PPI of verzekeraar kan, juist vanwege hun andere juridische vorm zonder de domeinafbakeningslogica van fondsen, soms beter gepositioneerd zijn voor een internationaal mandaat.</w:t>
      </w:r>
    </w:p>
    <w:p>
      <w:pPr>
        <w:spacing w:after="100"/>
      </w:pPr>
    </w:p>
    <w:p>
      <w:pPr>
        <w:pStyle w:val="Heading2"/>
        <w:spacing w:after="120" w:before="200"/>
      </w:pPr>
      <w:r>
        <w:rPr>
          <w:rFonts w:ascii="Georgia" w:cs="Georgia" w:eastAsia="Georgia" w:hAnsi="Georgia"/>
          <w:b/>
          <w:bCs/>
          <w:color w:val="2563A8"/>
          <w:sz w:val="28"/>
          <w:szCs w:val="28"/>
        </w:rPr>
        <w:t xml:space="preserve">25.8 De herziening die in ontwikkeling is</w:t>
      </w:r>
    </w:p>
    <w:p>
      <w:pPr>
        <w:spacing w:after="140" w:line="300"/>
      </w:pPr>
      <w:r>
        <w:rPr>
          <w:rFonts w:ascii="Calibri" w:cs="Calibri" w:eastAsia="Calibri" w:hAnsi="Calibri"/>
          <w:b w:val="false"/>
          <w:bCs w:val="false"/>
          <w:i w:val="false"/>
          <w:iCs w:val="false"/>
          <w:sz w:val="22"/>
          <w:szCs w:val="22"/>
        </w:rPr>
        <w:t xml:space="preserve">&lt;cite index=“142-1”&gt;Een voorstel voor verdere herziening van IORP II is in behandeling, met als doel de interne markt voor pensioenvoorzieningen verder te versterken, grensoverschrijdende dienstverlening te bevorderen, en de reikwijdte van de richtlijn aan te passen — onder meer door bepaalde entiteiten en producten die nu buiten het kader vallen, alsnog onder de richtlijn te brengen.&lt;/cite&gt; &lt;cite index=“143-1”&gt;Ook wordt overwogen lidstaten de ruimte te geven om instellingen voor bedrijfspensioenvoorziening naast arbeidsvoorwaardelijke regelingen ook persoonlijke pensioenproducten te laten aanbieden, en om nieuwe IORPs voortaan altijd vergunningplichtig te maken.&lt;/cite&gt;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Behandel dit als een ontwikkeling in beweging, niet als vaststaand recht.</w:t>
      </w:r>
      <w:r>
        <w:rPr>
          <w:rFonts w:ascii="Calibri" w:cs="Calibri" w:eastAsia="Calibri" w:hAnsi="Calibri"/>
          <w:b w:val="false"/>
          <w:bCs w:val="false"/>
          <w:i w:val="false"/>
          <w:iCs w:val="false"/>
          <w:sz w:val="22"/>
          <w:szCs w:val="22"/>
        </w:rPr>
        <w:t xml:space="preserve"> Net als bij de Nederlandse transitiedata (deel 5, 7, 15) geldt hier: controleer bij een concreet, internationaal georiënteerd advies altijd de actuele stand van de Europese wetgeving — dit voorstel kan wijzigen voordat het definitief wordt aangenomen en geïmplementeerd.</w:t>
      </w:r>
    </w:p>
    <w:p>
      <w:pPr>
        <w:spacing w:after="100"/>
      </w:pPr>
    </w:p>
    <w:p>
      <w:pPr>
        <w:pStyle w:val="Heading2"/>
        <w:spacing w:after="120" w:before="200"/>
      </w:pPr>
      <w:r>
        <w:rPr>
          <w:rFonts w:ascii="Georgia" w:cs="Georgia" w:eastAsia="Georgia" w:hAnsi="Georgia"/>
          <w:b/>
          <w:bCs/>
          <w:color w:val="2563A8"/>
          <w:sz w:val="28"/>
          <w:szCs w:val="28"/>
        </w:rPr>
        <w:t xml:space="preserve">25.9 Wanneer wordt dit relevant in de praktijk van deze cursus?</w:t>
      </w:r>
    </w:p>
    <w:p>
      <w:pPr>
        <w:spacing w:after="140" w:line="300"/>
      </w:pPr>
      <w:r>
        <w:rPr>
          <w:rFonts w:ascii="Calibri" w:cs="Calibri" w:eastAsia="Calibri" w:hAnsi="Calibri"/>
          <w:b w:val="false"/>
          <w:bCs w:val="false"/>
          <w:i w:val="false"/>
          <w:iCs w:val="false"/>
          <w:sz w:val="22"/>
          <w:szCs w:val="22"/>
        </w:rPr>
        <w:t xml:space="preserve">Geen van de vier hoofdcasussen (Meridiaan, Bpf T&amp;I, Delta Chemie, Van Doorn) heeft op dit moment een expliciet grensoverschrijdend element. Toch zijn er aanknopingspunten: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Delta Chemie.</w:t>
      </w:r>
      <w:r>
        <w:rPr>
          <w:rFonts w:ascii="Calibri" w:cs="Calibri" w:eastAsia="Calibri" w:hAnsi="Calibri"/>
          <w:b w:val="false"/>
          <w:bCs w:val="false"/>
          <w:i w:val="false"/>
          <w:iCs w:val="false"/>
          <w:sz w:val="22"/>
          <w:szCs w:val="22"/>
        </w:rPr>
        <w:t xml:space="preserve"> Een chemiebedrijf van deze omvang kan onderdeel zijn van een internationaal concern of internationale leveringsketens hebben. Als het moederbedrijf overweegt de Nederlandse pensioenuitvoering te centraliseren met vestigingen elders in Europa, wordt de vraag relevant of het huidige ondernemingspensioenfonds, een APF, of een grensoverschrijdend geconstrueerde oplossing de voorkeur verdient.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Een toekomstige uitbreiding van Van Doorn Techniek.</w:t>
      </w:r>
      <w:r>
        <w:rPr>
          <w:rFonts w:ascii="Calibri" w:cs="Calibri" w:eastAsia="Calibri" w:hAnsi="Calibri"/>
          <w:b w:val="false"/>
          <w:bCs w:val="false"/>
          <w:i w:val="false"/>
          <w:iCs w:val="false"/>
          <w:sz w:val="22"/>
          <w:szCs w:val="22"/>
        </w:rPr>
        <w:t xml:space="preserve"> Mocht Van Doorn ooit activiteiten in een buurland ontplooien met lokaal personeel, dan verschuift de vraag van “welke Nederlandse uitvoerder” naar “hoe verhoudt de Nederlandse regeling zich tot een eventuele grensoverschrijdende constructie” — een vraag die dit deel opent maar niet volledig beantwoordt, want de uitwerking is specialistisch maatwerk.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Het algemene signaal voor de adviespraktijk.</w:t>
      </w:r>
      <w:r>
        <w:rPr>
          <w:rFonts w:ascii="Calibri" w:cs="Calibri" w:eastAsia="Calibri" w:hAnsi="Calibri"/>
          <w:b w:val="false"/>
          <w:bCs w:val="false"/>
          <w:i w:val="false"/>
          <w:iCs w:val="false"/>
          <w:sz w:val="22"/>
          <w:szCs w:val="22"/>
        </w:rPr>
        <w:t xml:space="preserve"> Zodra een dossier een grensoverschrijdend element krijgt — een buitenlandse moeder, personeel over de grens, of een fonds met internationale ambities — verschuift het vraagstuk van het kader dat deze cursus tot nu toe bood naar een gespecialiseerd, Europees geöriënteerd adviestraject. Het signaleren daarvan, en het tijdig doorverwijzen naar specialistische kennis, is zelf een vorm van vakbekwaamheid (deel 18).</w:t>
      </w:r>
    </w:p>
    <w:p>
      <w:pPr>
        <w:spacing w:after="100"/>
      </w:pPr>
    </w:p>
    <w:p>
      <w:pPr>
        <w:pStyle w:val="Heading2"/>
        <w:spacing w:after="120" w:before="200"/>
      </w:pPr>
      <w:r>
        <w:rPr>
          <w:rFonts w:ascii="Georgia" w:cs="Georgia" w:eastAsia="Georgia" w:hAnsi="Georgia"/>
          <w:b/>
          <w:bCs/>
          <w:color w:val="2563A8"/>
          <w:sz w:val="28"/>
          <w:szCs w:val="28"/>
        </w:rPr>
        <w:t xml:space="preserve">25.10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IORP II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Europese richtlijn voor bedrijfspensioenvoorziening, sinds 2019</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Sleutelfuncties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Risicobeheer, interne audit en actuariaat, gescheiden van uitvoering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Three lines of defence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Scheiding tussen uitvoering, advies en controle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ERB</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Eigenrisicobeoordeling — periodieke, eigen risicoanalyse door het fonds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Domeinafbakening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Sectorale indeling van het Nederlandse fondslandschap, een belemmering bij grensoverschrijdende uitvoering</w:t>
            </w:r>
          </w:p>
        </w:tc>
      </w:tr>
    </w:tbl>
    <w:p>
      <w:pPr>
        <w:spacing w:after="100"/>
      </w:pPr>
    </w:p>
    <w:p>
      <w:pPr>
        <w:pStyle w:val="Heading2"/>
        <w:spacing w:after="120" w:before="200"/>
      </w:pPr>
      <w:r>
        <w:rPr>
          <w:rFonts w:ascii="Georgia" w:cs="Georgia" w:eastAsia="Georgia" w:hAnsi="Georgia"/>
          <w:b/>
          <w:bCs/>
          <w:color w:val="2563A8"/>
          <w:sz w:val="28"/>
          <w:szCs w:val="28"/>
        </w:rPr>
        <w:t xml:space="preserve">25.11 Samenvatting</w:t>
      </w:r>
    </w:p>
    <w:p>
      <w:pPr>
        <w:pStyle w:val="ListParagraph"/>
        <w:numPr>
          <w:ilvl w:val="0"/>
          <w:numId w:val="1"/>
        </w:numPr>
        <w:spacing w:after="80"/>
      </w:pPr>
      <w:r>
        <w:rPr>
          <w:rFonts w:ascii="Calibri" w:cs="Calibri" w:eastAsia="Calibri" w:hAnsi="Calibri"/>
          <w:sz w:val="22"/>
          <w:szCs w:val="22"/>
        </w:rPr>
        <w:t xml:space="preserve">IORP II harmoniseert het Europese toezicht op pensioenfondsen en faciliteert grensoverschrijdende activiteiten; de impact in Nederland is beperkter dan elders, gezien de al hoge dekkingsgraad van de tweede pijler.</w:t>
      </w:r>
    </w:p>
    <w:p>
      <w:pPr>
        <w:pStyle w:val="ListParagraph"/>
        <w:numPr>
          <w:ilvl w:val="0"/>
          <w:numId w:val="1"/>
        </w:numPr>
        <w:spacing w:after="80"/>
      </w:pPr>
      <w:r>
        <w:rPr>
          <w:rFonts w:ascii="Calibri" w:cs="Calibri" w:eastAsia="Calibri" w:hAnsi="Calibri"/>
          <w:sz w:val="22"/>
          <w:szCs w:val="22"/>
        </w:rPr>
        <w:t xml:space="preserve">De drie sleutelfuncties (risicobeheer, interne audit, actuariaat) mogen niet bij één persoon zijn belegd en versterken de governance-infrastructuur die ook bij invaarbesluiten (deel 16 en 24) van pas komt.</w:t>
      </w:r>
    </w:p>
    <w:p>
      <w:pPr>
        <w:pStyle w:val="ListParagraph"/>
        <w:numPr>
          <w:ilvl w:val="0"/>
          <w:numId w:val="1"/>
        </w:numPr>
        <w:spacing w:after="80"/>
      </w:pPr>
      <w:r>
        <w:rPr>
          <w:rFonts w:ascii="Calibri" w:cs="Calibri" w:eastAsia="Calibri" w:hAnsi="Calibri"/>
          <w:sz w:val="22"/>
          <w:szCs w:val="22"/>
        </w:rPr>
        <w:t xml:space="preserve">De ERB is een structureel, doorlopend governance-instrument, verwant aan maar breder dan de eenmalige evenwichtigheidstoets bij transitie.</w:t>
      </w:r>
    </w:p>
    <w:p>
      <w:pPr>
        <w:pStyle w:val="ListParagraph"/>
        <w:numPr>
          <w:ilvl w:val="0"/>
          <w:numId w:val="1"/>
        </w:numPr>
        <w:spacing w:after="80"/>
      </w:pPr>
      <w:r>
        <w:rPr>
          <w:rFonts w:ascii="Calibri" w:cs="Calibri" w:eastAsia="Calibri" w:hAnsi="Calibri"/>
          <w:sz w:val="22"/>
          <w:szCs w:val="22"/>
        </w:rPr>
        <w:t xml:space="preserve">Grensoverschrijdende collectieve waardeoverdracht kent, bovenop de reguliere CWO uit deel 16, internationale waarborgen voor de positie van de deelnemer.</w:t>
      </w:r>
    </w:p>
    <w:p>
      <w:pPr>
        <w:pStyle w:val="ListParagraph"/>
        <w:numPr>
          <w:ilvl w:val="0"/>
          <w:numId w:val="1"/>
        </w:numPr>
        <w:spacing w:after="80"/>
      </w:pPr>
      <w:r>
        <w:rPr>
          <w:rFonts w:ascii="Calibri" w:cs="Calibri" w:eastAsia="Calibri" w:hAnsi="Calibri"/>
          <w:sz w:val="22"/>
          <w:szCs w:val="22"/>
        </w:rPr>
        <w:t xml:space="preserve">Het Nederlandse pensioenfonds is door zijn domeinafbakening niet automatisch de beste uitvoerder voor buitenlandse regelingen.</w:t>
      </w:r>
    </w:p>
    <w:p>
      <w:pPr>
        <w:pStyle w:val="ListParagraph"/>
        <w:numPr>
          <w:ilvl w:val="0"/>
          <w:numId w:val="1"/>
        </w:numPr>
        <w:spacing w:after="80"/>
      </w:pPr>
      <w:r>
        <w:rPr>
          <w:rFonts w:ascii="Calibri" w:cs="Calibri" w:eastAsia="Calibri" w:hAnsi="Calibri"/>
          <w:sz w:val="22"/>
          <w:szCs w:val="22"/>
        </w:rPr>
        <w:t xml:space="preserve">Een herziening van IORP II is in behandeling; controleer de actuele stand bij een concreet advies.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niveau 3, vervolg.</w:t>
      </w:r>
      <w:r>
        <w:rPr>
          <w:rFonts w:ascii="Calibri" w:cs="Calibri" w:eastAsia="Calibri" w:hAnsi="Calibri"/>
          <w:b w:val="false"/>
          <w:bCs w:val="false"/>
          <w:i w:val="false"/>
          <w:iCs w:val="false"/>
          <w:sz w:val="22"/>
          <w:szCs w:val="22"/>
        </w:rPr>
        <w:t xml:space="preserve"> De volgende delen van niveau 3 (26 tot en met 30, buiten het bestek van dit voorstel) bouwen voort met DGA en zzp, productontwikkeling bij een verzekeraar, actuariële grondslagen, casuïstiek en de masterproef — steeds vanuit hetzelfde uitgangspunt dat deze vier delen hebben laten zien: het antwoord op een pensioenvraag hangt zelden van één regel af, maar van een zorgvuldige, voor de concrete situatie doorgerekende en gedocumenteerde afweging.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2026-08-17T11:22:45.943Z</dcterms:created>
  <dcterms:modified xsi:type="dcterms:W3CDTF">2026-08-17T11:22:45.943Z</dcterms:modified>
</cp:coreProperties>
</file>

<file path=docProps/custom.xml><?xml version="1.0" encoding="utf-8"?>
<Properties xmlns="http://schemas.openxmlformats.org/officeDocument/2006/custom-properties" xmlns:vt="http://schemas.openxmlformats.org/officeDocument/2006/docPropsVTypes"/>
</file>