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25 — Werkboek</w:t>
      </w:r>
    </w:p>
    <w:p>
      <w:pPr>
        <w:spacing w:after="300"/>
      </w:pPr>
      <w:r>
        <w:rPr>
          <w:rFonts w:ascii="Calibri" w:cs="Calibri" w:eastAsia="Calibri" w:hAnsi="Calibri"/>
          <w:i/>
          <w:iCs/>
          <w:color w:val="2563A8"/>
          <w:sz w:val="22"/>
          <w:szCs w:val="22"/>
        </w:rPr>
        <w:t xml:space="preserve">Niveau 3 — Expert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25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3 · Expert · Opdrachten met uitwerkingen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Opdracht 25.1 — Doel van IORP II</w:t>
      </w:r>
    </w:p>
    <w:p>
      <w:pPr>
        <w:spacing w:after="140" w:line="300"/>
      </w:pPr>
      <w:r>
        <w:rPr>
          <w:rFonts w:ascii="Calibri" w:cs="Calibri" w:eastAsia="Calibri" w:hAnsi="Calibri"/>
          <w:b w:val="false"/>
          <w:bCs w:val="false"/>
          <w:i w:val="false"/>
          <w:iCs w:val="false"/>
          <w:sz w:val="22"/>
          <w:szCs w:val="22"/>
        </w:rPr>
        <w:t xml:space="preserve">Noem in eigen woorden de vier hoofddoelen van de IORP II-herziening, en leg uit waarom de impact in Nederland relatief beperkt is gebleven.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Hoofddoelen: harmonisatie van toezicht, meer transparantie, faciliteren van grensoverschrijdende activiteiten, en gewijzigde governance-eisen. Beperkte impact in Nederland: circa 90% van de werknemers bouwt al pensioen op via de werkgever, dus de richtlijn (die vooral bedoeld is om de tweede pijler in de EU te versterken) had in Nederland minder terrein te winnen dan in lidstaten met een minder ontwikkelde tweede pijler.</w:t>
            </w:r>
          </w:p>
        </w:tc>
      </w:tr>
    </w:tbl>
    <w:p>
      <w:pPr>
        <w:spacing w:after="100"/>
      </w:pPr>
    </w:p>
    <w:p>
      <w:pPr>
        <w:pStyle w:val="Heading2"/>
        <w:spacing w:after="120" w:before="200"/>
      </w:pPr>
      <w:r>
        <w:rPr>
          <w:rFonts w:ascii="Georgia" w:cs="Georgia" w:eastAsia="Georgia" w:hAnsi="Georgia"/>
          <w:b/>
          <w:bCs/>
          <w:color w:val="2563A8"/>
          <w:sz w:val="28"/>
          <w:szCs w:val="28"/>
        </w:rPr>
        <w:t xml:space="preserve">Opdracht 25.2 — De drie sleutelfuncties toewijzen</w:t>
      </w:r>
    </w:p>
    <w:p>
      <w:pPr>
        <w:spacing w:after="140" w:line="300"/>
      </w:pPr>
      <w:r>
        <w:rPr>
          <w:rFonts w:ascii="Calibri" w:cs="Calibri" w:eastAsia="Calibri" w:hAnsi="Calibri"/>
          <w:b w:val="false"/>
          <w:bCs w:val="false"/>
          <w:i w:val="false"/>
          <w:iCs w:val="false"/>
          <w:sz w:val="22"/>
          <w:szCs w:val="22"/>
        </w:rPr>
        <w:t xml:space="preserve">Voor elke activiteit: welke sleutelfunctie (risicobeheer, interne audit, actuariaat) is primair verantwoordelijk?</w:t>
      </w:r>
    </w:p>
    <w:p>
      <w:pPr>
        <w:spacing w:after="140" w:line="300"/>
      </w:pPr>
      <w:r>
        <w:rPr>
          <w:rFonts w:ascii="Calibri" w:cs="Calibri" w:eastAsia="Calibri" w:hAnsi="Calibri"/>
          <w:b w:val="false"/>
          <w:bCs w:val="false"/>
          <w:i w:val="false"/>
          <w:iCs w:val="false"/>
          <w:sz w:val="22"/>
          <w:szCs w:val="22"/>
        </w:rPr>
        <w:t xml:space="preserve">a. Beoordelen of de gehanteerde rekenmethodiek voor de spreidingstermijn (deel 24) correct is toegepast.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Onafhankelijk controleren of het fondsbestuur zijn eigen interne procedures voor besluitvorming heeft nageleefd.</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Signaleren dat de dekkingsgraad zich richting de 90%-grens uit deel 16 beweegt.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 actuariaat. b: interne audit. c: risicobeheer.</w:t>
            </w:r>
          </w:p>
        </w:tc>
      </w:tr>
    </w:tbl>
    <w:p>
      <w:pPr>
        <w:spacing w:after="100"/>
      </w:pPr>
    </w:p>
    <w:p>
      <w:pPr>
        <w:pStyle w:val="Heading2"/>
        <w:spacing w:after="120" w:before="200"/>
      </w:pPr>
      <w:r>
        <w:rPr>
          <w:rFonts w:ascii="Georgia" w:cs="Georgia" w:eastAsia="Georgia" w:hAnsi="Georgia"/>
          <w:b/>
          <w:bCs/>
          <w:color w:val="2563A8"/>
          <w:sz w:val="28"/>
          <w:szCs w:val="28"/>
        </w:rPr>
        <w:t xml:space="preserve">Opdracht 25.3 — Three lines of defence toepassen</w:t>
      </w:r>
    </w:p>
    <w:p>
      <w:pPr>
        <w:spacing w:after="140" w:line="300"/>
      </w:pPr>
      <w:r>
        <w:rPr>
          <w:rFonts w:ascii="Calibri" w:cs="Calibri" w:eastAsia="Calibri" w:hAnsi="Calibri"/>
          <w:b w:val="false"/>
          <w:bCs w:val="false"/>
          <w:i w:val="false"/>
          <w:iCs w:val="false"/>
          <w:sz w:val="22"/>
          <w:szCs w:val="22"/>
        </w:rPr>
        <w:t xml:space="preserve">Een fondsbestuurder stelt voor dat dezelfde persoon zowel het risicobeheer als de interne audit uitvoert, “om kosten te besparen bij een klein fonds.”</w:t>
      </w:r>
    </w:p>
    <w:p>
      <w:pPr>
        <w:spacing w:after="140" w:line="300"/>
      </w:pPr>
      <w:r>
        <w:rPr>
          <w:rFonts w:ascii="Calibri" w:cs="Calibri" w:eastAsia="Calibri" w:hAnsi="Calibri"/>
          <w:b w:val="false"/>
          <w:bCs w:val="false"/>
          <w:i w:val="false"/>
          <w:iCs w:val="false"/>
          <w:sz w:val="22"/>
          <w:szCs w:val="22"/>
        </w:rPr>
        <w:t xml:space="preserve">a. Is dit toegestaan onder IORP II?</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is het onderliggende risico van het combineren van deze twee functies?</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Nee — de drie functies (uitvoering, advies, controle, vertaald naar risicobeheer/actuariaat enerzijds en interne audit anderzijds) mogen niet bij één persoon worden belegd.</w:t>
      </w:r>
    </w:p>
    <w:p>
      <w:pPr>
        <w:spacing w:after="140" w:line="300"/>
      </w:pPr>
      <w:r>
        <w:rPr>
          <w:rFonts w:ascii="Calibri" w:cs="Calibri" w:eastAsia="Calibri" w:hAnsi="Calibri"/>
          <w:b w:val="false"/>
          <w:bCs w:val="false"/>
          <w:i w:val="false"/>
          <w:iCs w:val="false"/>
          <w:sz w:val="22"/>
          <w:szCs w:val="22"/>
        </w:rPr>
        <w:t xml:space="preserve">b. Interne audit moet onafhankelijk kunnen beoordelen of risicobeheer zijn taak goed uitvoert; als beide bij dezelfde persoon liggen, controleert die persoon feitelijk zichzelf, wat de hele functie van een controlelaag ondermijnt.</w:t>
      </w:r>
    </w:p>
    <w:p>
      <w:pPr>
        <w:spacing w:after="100"/>
      </w:pPr>
    </w:p>
    <w:p>
      <w:pPr>
        <w:pStyle w:val="Heading2"/>
        <w:spacing w:after="120" w:before="200"/>
      </w:pPr>
      <w:r>
        <w:rPr>
          <w:rFonts w:ascii="Georgia" w:cs="Georgia" w:eastAsia="Georgia" w:hAnsi="Georgia"/>
          <w:b/>
          <w:bCs/>
          <w:color w:val="2563A8"/>
          <w:sz w:val="28"/>
          <w:szCs w:val="28"/>
        </w:rPr>
        <w:t xml:space="preserve">Opdracht 25.4 — ERB en de link met deel 24</w:t>
      </w:r>
    </w:p>
    <w:p>
      <w:pPr>
        <w:spacing w:after="140" w:line="300"/>
      </w:pPr>
      <w:r>
        <w:rPr>
          <w:rFonts w:ascii="Calibri" w:cs="Calibri" w:eastAsia="Calibri" w:hAnsi="Calibri"/>
          <w:b w:val="false"/>
          <w:bCs w:val="false"/>
          <w:i w:val="false"/>
          <w:iCs w:val="false"/>
          <w:sz w:val="22"/>
          <w:szCs w:val="22"/>
        </w:rPr>
        <w:t xml:space="preserve">Leg uit waarom een fonds dat zijn eigenrisicobeoordeling serieus en regelmatig uitvoert, in een sterkere positie staat als het later een leeftijdsafhankelijke verdeling bij invaren moet rechtvaardigen (vergelijk deel 24).</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De ERB dwingt het fonds tot een structurele, periodieke risicoanalyse van zijn deelnemersbestand en de verschillende groepen daarbinnen. Een fonds dat dit al langere tijd doet, beschikt op het moment van een invaarbesluit over een schat aan bestandspecifieke data en eerdere doorrekeningen — precies het type onderbouwing dat in deel 24 doorslaggevend bleek voor het overleven van een toets op objectieve rechtvaardiging. De ERB is dus geen doel op zich, maar een governance-investering die bij een latere, juridisch kwetsbare beslissing rendement oplevert.</w:t>
            </w:r>
          </w:p>
        </w:tc>
      </w:tr>
    </w:tbl>
    <w:p>
      <w:pPr>
        <w:spacing w:after="100"/>
      </w:pPr>
    </w:p>
    <w:p>
      <w:pPr>
        <w:pStyle w:val="Heading2"/>
        <w:spacing w:after="120" w:before="200"/>
      </w:pPr>
      <w:r>
        <w:rPr>
          <w:rFonts w:ascii="Georgia" w:cs="Georgia" w:eastAsia="Georgia" w:hAnsi="Georgia"/>
          <w:b/>
          <w:bCs/>
          <w:color w:val="2563A8"/>
          <w:sz w:val="28"/>
          <w:szCs w:val="28"/>
        </w:rPr>
        <w:t xml:space="preserve">Opdracht 25.5 — Grensoverschrijdende CWO versus reguliere CWO</w:t>
      </w:r>
    </w:p>
    <w:p>
      <w:pPr>
        <w:spacing w:after="140" w:line="300"/>
      </w:pPr>
      <w:r>
        <w:rPr>
          <w:rFonts w:ascii="Calibri" w:cs="Calibri" w:eastAsia="Calibri" w:hAnsi="Calibri"/>
          <w:b w:val="false"/>
          <w:bCs w:val="false"/>
          <w:i w:val="false"/>
          <w:iCs w:val="false"/>
          <w:sz w:val="22"/>
          <w:szCs w:val="22"/>
        </w:rPr>
        <w:t xml:space="preserve">Vergelijk in een korte tabel de reguliere collectieve waardeoverdracht uit deel 16 met een grensoverschrijdende CWO: wat blijft hetzelfde, wat komt erbij?</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Reguliere CWO (deel 16)</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Grensoverschrijdende CWO</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bezwaarrecht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Ja</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Ja, met aanvullende internationale waarborgen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Toezichthouder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DNB</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DNB én de toezichthouder van de ontvangende lidstaat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Onderbouwing financiële effecten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Verplicht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Verplicht, plus grensoverschrijdende vergelijkbaarheid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Extra complexiteit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Beperkt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Welke lidstaat is bevoegd, welk regime is leidend</w:t>
            </w:r>
          </w:p>
        </w:tc>
      </w:tr>
    </w:tbl>
    <w:p>
      <w:pPr>
        <w:spacing w:after="100"/>
      </w:pPr>
    </w:p>
    <w:p>
      <w:pPr>
        <w:pStyle w:val="Heading2"/>
        <w:spacing w:after="120" w:before="200"/>
      </w:pPr>
      <w:r>
        <w:rPr>
          <w:rFonts w:ascii="Georgia" w:cs="Georgia" w:eastAsia="Georgia" w:hAnsi="Georgia"/>
          <w:b/>
          <w:bCs/>
          <w:color w:val="2563A8"/>
          <w:sz w:val="28"/>
          <w:szCs w:val="28"/>
        </w:rPr>
        <w:t xml:space="preserve">Opdracht 25.6 — Domeinafbakening als belemmering</w:t>
      </w:r>
    </w:p>
    <w:p>
      <w:pPr>
        <w:spacing w:after="140" w:line="300"/>
      </w:pPr>
      <w:r>
        <w:rPr>
          <w:rFonts w:ascii="Calibri" w:cs="Calibri" w:eastAsia="Calibri" w:hAnsi="Calibri"/>
          <w:b w:val="false"/>
          <w:bCs w:val="false"/>
          <w:i w:val="false"/>
          <w:iCs w:val="false"/>
          <w:sz w:val="22"/>
          <w:szCs w:val="22"/>
        </w:rPr>
        <w:t xml:space="preserve">Een Duitse multinational met een Nederlandse dochteronderneming overweegt haar Europese pensioenuitvoering te centraliseren bij één instelling. Een adviseur stelt voor: “Laten we een Nederlands pensioenfonds oprichten, want Nederland heeft het beste ontwikkelde stelsel.”</w:t>
      </w:r>
    </w:p>
    <w:p>
      <w:pPr>
        <w:spacing w:after="140" w:line="300"/>
      </w:pPr>
      <w:r>
        <w:rPr>
          <w:rFonts w:ascii="Calibri" w:cs="Calibri" w:eastAsia="Calibri" w:hAnsi="Calibri"/>
          <w:b w:val="false"/>
          <w:bCs w:val="false"/>
          <w:i w:val="false"/>
          <w:iCs w:val="false"/>
          <w:sz w:val="22"/>
          <w:szCs w:val="22"/>
        </w:rPr>
        <w:t xml:space="preserve">a. Wat is het risico van dit advies, gezien paragraaf 25.7?</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Welk alternatief zou eerder overwogen moeten worden?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Het Nederlandse fondslandschap is historisch ingericht rond sectorale domeinafbakening, wat een Nederlands fonds minder soepel maakt voor het uitvoeren van een regeling die geen equivalent van die sectorlogica kent — “het beste stelsel” is niet hetzelfde als “de beste uitvoeringsvorm voor dit specifieke, internationale mandaat.”</w:t>
      </w:r>
    </w:p>
    <w:p>
      <w:pPr>
        <w:spacing w:after="140" w:line="300"/>
      </w:pPr>
      <w:r>
        <w:rPr>
          <w:rFonts w:ascii="Calibri" w:cs="Calibri" w:eastAsia="Calibri" w:hAnsi="Calibri"/>
          <w:b w:val="false"/>
          <w:bCs w:val="false"/>
          <w:i w:val="false"/>
          <w:iCs w:val="false"/>
          <w:sz w:val="22"/>
          <w:szCs w:val="22"/>
        </w:rPr>
        <w:t xml:space="preserve">b. Een verzekeraar of PPI, die niet gebonden is aan de domeinafbakeningslogica van fondsen, kan beter gepositioneerd zijn voor een grensoverschrijdend, geconsolideerd mandaat — al blijft dit specialistisch maatwerk dat verder gespecialiseerd advies vergt.</w:t>
      </w:r>
    </w:p>
    <w:p>
      <w:pPr>
        <w:spacing w:after="100"/>
      </w:pPr>
    </w:p>
    <w:p>
      <w:pPr>
        <w:pStyle w:val="Heading2"/>
        <w:spacing w:after="120" w:before="200"/>
      </w:pPr>
      <w:r>
        <w:rPr>
          <w:rFonts w:ascii="Georgia" w:cs="Georgia" w:eastAsia="Georgia" w:hAnsi="Georgia"/>
          <w:b/>
          <w:bCs/>
          <w:color w:val="2563A8"/>
          <w:sz w:val="28"/>
          <w:szCs w:val="28"/>
        </w:rPr>
        <w:t xml:space="preserve">Opdracht 25.7 — Signaleren en doorverwijzen</w:t>
      </w:r>
    </w:p>
    <w:p>
      <w:pPr>
        <w:spacing w:after="140" w:line="300"/>
      </w:pPr>
      <w:r>
        <w:rPr>
          <w:rFonts w:ascii="Calibri" w:cs="Calibri" w:eastAsia="Calibri" w:hAnsi="Calibri"/>
          <w:b w:val="false"/>
          <w:bCs w:val="false"/>
          <w:i w:val="false"/>
          <w:iCs w:val="false"/>
          <w:sz w:val="22"/>
          <w:szCs w:val="22"/>
        </w:rPr>
        <w:t xml:space="preserve">Delta Chemie’s bestuur laat tijdens een adviesgesprek terloops vallen dat het moederbedrijf “overweegt om alle Europese pensioenregelingen bij elkaar te brengen.” Als adviseur van Delta Chemie voor de Nederlandse regeling (niet gespecialiseerd in grensoverschrijdend pensioenrecht):</w:t>
      </w:r>
    </w:p>
    <w:p>
      <w:pPr>
        <w:spacing w:after="140" w:line="300"/>
      </w:pPr>
      <w:r>
        <w:rPr>
          <w:rFonts w:ascii="Calibri" w:cs="Calibri" w:eastAsia="Calibri" w:hAnsi="Calibri"/>
          <w:b w:val="false"/>
          <w:bCs w:val="false"/>
          <w:i w:val="false"/>
          <w:iCs w:val="false"/>
          <w:sz w:val="22"/>
          <w:szCs w:val="22"/>
        </w:rPr>
        <w:t xml:space="preserve">a. Moet je hier meteen een oplossing voor bedenken?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is de professioneel juiste reactie, gekoppeld aan deel 18 (zorgplicht)?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Nee — dit valt buiten het bestek van reguliere Nederlandse pensioenadvisering en vergt specialistische, Europees georiënteerde kennis.</w:t>
      </w:r>
    </w:p>
    <w:p>
      <w:pPr>
        <w:spacing w:after="140" w:line="300"/>
      </w:pPr>
      <w:r>
        <w:rPr>
          <w:rFonts w:ascii="Calibri" w:cs="Calibri" w:eastAsia="Calibri" w:hAnsi="Calibri"/>
          <w:b w:val="false"/>
          <w:bCs w:val="false"/>
          <w:i w:val="false"/>
          <w:iCs w:val="false"/>
          <w:sz w:val="22"/>
          <w:szCs w:val="22"/>
        </w:rPr>
        <w:t xml:space="preserve">b. Signaleer het onderwerp expliciet in je adviesdossier, benoem dat dit een aanvullend, gespecialiseerd traject vergt, en verwijs door naar een adviseur met grensoverschrijdende expertise — dit is precies de vaardigheid uit deel 18: weten wanneer je buiten je eigen vakbekwaamheid en vergunningsscope komt, en dat proactief benoemen in plaats van een halfslachtig antwoord te geven.</w:t>
      </w:r>
    </w:p>
    <w:p>
      <w:pPr>
        <w:spacing w:after="100"/>
      </w:pPr>
    </w:p>
    <w:p>
      <w:pPr>
        <w:pStyle w:val="Heading2"/>
        <w:spacing w:after="120" w:before="200"/>
      </w:pPr>
      <w:r>
        <w:rPr>
          <w:rFonts w:ascii="Georgia" w:cs="Georgia" w:eastAsia="Georgia" w:hAnsi="Georgia"/>
          <w:b/>
          <w:bCs/>
          <w:color w:val="2563A8"/>
          <w:sz w:val="28"/>
          <w:szCs w:val="28"/>
        </w:rPr>
        <w:t xml:space="preserve">Opdracht 25.8 — Reflectie op niveau 3 tot nu toe</w:t>
      </w:r>
    </w:p>
    <w:p>
      <w:pPr>
        <w:spacing w:after="140" w:line="300"/>
      </w:pPr>
      <w:r>
        <w:rPr>
          <w:rFonts w:ascii="Calibri" w:cs="Calibri" w:eastAsia="Calibri" w:hAnsi="Calibri"/>
          <w:b w:val="false"/>
          <w:bCs w:val="false"/>
          <w:i w:val="false"/>
          <w:iCs w:val="false"/>
          <w:sz w:val="22"/>
          <w:szCs w:val="22"/>
        </w:rPr>
        <w:t xml:space="preserve">In welk opzicht verschilt dit deel qua directe toepasbaarheid op de vier hoofdcasussen van deze cursus, vergeleken met deel 22, 23 en 24? Wat zegt dat over hoe je dit deel in je eigen praktijk zou moeten wegen?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(richtlijn). Dit deel heeft, anders dan deel 22-24, geen direct toepasbare casus binnen de vier hoofddossiers — het opent een mogelijkheid (Delta Chemie, een toekomstige Van Doorn-uitbreiding) zonder haar volledig uit te werken. Dat is een bewuste keuze: niet elk deel van een expertniveau hoeft direct op de lopende casus te worden toegepast; soms is het doel juist het vergroten van het herkenningsvermogen — weten wánneer een vraagstuk buiten je kernexpertise valt — zonder dat je de volledige diepte zelf hoeft te beheersen. Voor de eigen praktijk betekent dit: bewaar dit deel als een signaleringsinstrument, niet als een uitvoeringsinstrument.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3 — Expert · Deel 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2026-08-17T11:22:45.965Z</dcterms:created>
  <dcterms:modified xsi:type="dcterms:W3CDTF">2026-08-17T11:22:45.965Z</dcterms:modified>
</cp:coreProperties>
</file>

<file path=docProps/custom.xml><?xml version="1.0" encoding="utf-8"?>
<Properties xmlns="http://schemas.openxmlformats.org/officeDocument/2006/custom-properties" xmlns:vt="http://schemas.openxmlformats.org/officeDocument/2006/docPropsVTypes"/>
</file>