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Docentenhandleiding — Deel 26 — Docentenhandleiding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3 — Expert · Nederlandse pensioenverzekering</w:t>
      </w:r>
    </w:p>
    <w:p>
      <w:pPr>
        <w:pStyle w:val="Heading1"/>
        <w:pBdr>
          <w:bottom w:val="single" w:color="14213D" w:sz="12" w:space="4"/>
        </w:pBdr>
        <w:spacing w:after="160" w:before="240"/>
      </w:pPr>
      <w:r>
        <w:rPr>
          <w:rFonts w:ascii="Georgia" w:cs="Georgia" w:eastAsia="Georgia" w:hAnsi="Georgia"/>
          <w:b/>
          <w:bCs/>
          <w:color w:val="14213D"/>
          <w:sz w:val="36"/>
          <w:szCs w:val="36"/>
        </w:rPr>
        <w:t xml:space="preserve">Deel 26 — Docentenhandleiding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Niveau 3 · Expert · Eén dagdeel (3 uur inclusief pauze)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Doel van dit dagdeel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Dit deel sluit een dossier dat sinds deel 11 bewust openstond: Ferdi’s eigen pensioenpositie als DGA. Twee dingen moeten landen: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De ODV-mechaniek (startwaarde, oprenting, uitkeringsduur) als rekenstructuur, niet als exacte fiscale berekening — die hoort bij een specialist.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De partnerbescherming bij ODV-omzetting is niet automatisch geregeld en moet actief worden gecontroleerd — een DGA-specifieke variant van een thema dat al in deel 8 en 9 centraal stond.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Tijdschema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Werkvorm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Het dossier dat is blijven liggen sinds deel 11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Geschiedenis van PEB, drie routes, opdracht 26.1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ODV ontleed, opdracht 26.2 en 26.3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met rekenwerk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1:25–1:50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Partnerbescherming, opdracht 26.4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College, kern van het dagdeel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1:50–2:15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Jaarruimte volledig uitgewerkt, opdracht 26.5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rekenen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2:15–2:35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zzp’er gepositioneerd, opdracht 26.6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2:35–3:00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Ferdi’s dossier compleet, opdracht 26.7 en 26.8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Individueel, afsluiting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Aandachtspunten per onderdeel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Openen.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Herinner aan de zin uit deel 11: “Ferdi zelf uitgezonderd, als dga behandeld in deel 26.” Dit soort vooruitverwijzingen door de hele cursus heen is een terugkerend structuurelement — benoem dat expliciet, het versterkt het gevoel dat de cursus één samenhangend geheel is en geen losse module-verzameling.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Geschiedenis en drie routes.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Kort houden. Het kernpunt: PEB werd afgeschaft vanwege het verschil tussen fiscale en commerciële waardering — een technisch punt dat je bondig kunt samenvatten als “de boekhoudkundige werkelijkheid en de echte waarde liepen te ver uiteen.” Bij opdracht 26.1: laat zien dat de drie routes qua structuur lijken op de routes voor bestaande aanspraken uit deel 5 en 16 (niets doen / omzetten / afkopen-vergelijkbaar met overdragen), maar met eigen, DGA-specifieke regels.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 ODV ontleed.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Doe opdracht 26.2 samen op de flap, met de nadruk dat dit een vereenvoudigde schatting is — wees hier expliciet over, want DGA-cliënten in de praktijk verdienen een exacte berekening door een gespecialiseerde partij, niet een vuistregel. Dat is zelf een leerpunt: dit deel geeft het begrip, niet de rekenvaardigheid voor een echt dossier.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Bij opdracht 26.3: koppel expliciet terug aan deel 13 (vervroegde ingang bij een vaste uitkering levert minder per jaar op) — dezelfde onderliggende wiskunde, nu toegepast op een ander product.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Partnerbescherming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Neem hier de meeste tijd. Dit is het punt waar DGA-advisering het vaakst misgaat: de aandacht gaat naar de fiscale kant van de ODV, en de partnerbescherming wordt over het hoofd gezien. Bij opdracht 26.4: laat de groep het risicoscenario voelen — een gewezen partner die jaren later, bij een scheiding of een overlijden, ontdekt dat er nooit compensatie is geregeld. Vergelijk dit expliciet met de “stille fout” uit deel 9 (de niet-aangemelde partner): in beide gevallen gaat het om een bescherming die niet vanzelfsprekend is ingebouwd en die pas op het slechtst denkbare moment aan het licht komt.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Jaarruimte.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Dit is grotendeels herhaling en verdieping van deel 11, nu toegepast op een DGA zonder lopende opbouw. Laat opdracht 26.5 snel en zelfstandig rekenen — de formule is al bekend.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 zzp’er.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Kort. Het belangrijkste punt: zzp’ers bouwen niet automatisch tweedepijlerpensioen op, en de derde pijler is voor hen vaak de facto de hoofdvoorziening in plaats van een aanvulling. Bij opdracht 26.6c: herhaal de werkingssfeerlogica uit deel 4, nu toegepast op de zelfstandige zelf.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Ferdi’s dossier compleet.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Sluit hiermee af als synthese-opdracht. Dit is het laatste puzzelstukje van de hoofdcasus dat expliciet werd opengelaten — laat de groep voelen dat dit een afronding is, niet alleen een oefening.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“Kan een DGA nu nog kiezen tussen de drie routes uit paragraaf 26.4?”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Nee — de keuzemogelijkheden golden voor een beperkte overgangsperiode na de uitfasering in 2017. Wie toen niets deed, zit nog steeds met een premievrij PEB; de andere twee routes zijn niet met terugwerkende kracht alsnog te kiezen buiten die periode.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“Is de ODV verplicht bij een BV-verkoop of -liquidatie af te wikkelen?”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Dit hangt af van de concrete situatie en vergt gespecialiseerd fiscaal advies; afstorten naar een externe lijfrente-aanbieder is één mogelijke route, maar niet de enige, en niet in elke situatie de beste.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“Geldt de partnerbeschermingseis ook bij afkoop, niet alleen bij omzetting naar een ODV?”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Ja — het prijsgeven van het PEB, ongeacht of dat via afkoop of omzetting naar een ODV gebeurde, viel onder dezelfde instemmingseis.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Voorbereiding en materiaal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Rekenblad voor de vereenvoudigde ODV-berekening uit opdracht 26.2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Actuele U-rendement-percentages en jaarruimtecijfers gecontroleerd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fictief, maar realistisch voorbeeld van een instemmingsverklaring om te laten zien wat er in een compleet dossier hoort te zitten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Huiswerk: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opdracht 26.7 en 26.8. Kondig deel 27 aan: het perspectief verschuift naar de uitvoerder zelf — hoe ontwikkelt Meridiaan een nieuw product?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Nederlandse pensioenverzekering · Niveau 3 — Expert · Deel 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2026-08-17T11:22:46.091Z</dcterms:created>
  <dcterms:modified xsi:type="dcterms:W3CDTF">2026-08-17T11:22:46.091Z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