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26 — DGA, ODV, derde pijler en zzp</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26 — DGA, ODV, derde pijler en zzp</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26.1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de geschiedenis en huidige status van pensioen in eigen beheer (PEB) voor de DGA uitleggen;</w:t>
      </w:r>
    </w:p>
    <w:p>
      <w:pPr>
        <w:pStyle w:val="ListParagraph"/>
        <w:numPr>
          <w:ilvl w:val="0"/>
          <w:numId w:val="1"/>
        </w:numPr>
        <w:spacing w:after="80"/>
      </w:pPr>
      <w:r>
        <w:rPr>
          <w:rFonts w:ascii="Calibri" w:cs="Calibri" w:eastAsia="Calibri" w:hAnsi="Calibri"/>
          <w:sz w:val="22"/>
          <w:szCs w:val="22"/>
        </w:rPr>
        <w:t xml:space="preserve">2. de mechaniek van de oudedagsverplichting (ODV) — oprenting, uitkeringsduur, ingangsmoment — doorrekenen;</w:t>
      </w:r>
    </w:p>
    <w:p>
      <w:pPr>
        <w:pStyle w:val="ListParagraph"/>
        <w:numPr>
          <w:ilvl w:val="0"/>
          <w:numId w:val="1"/>
        </w:numPr>
        <w:spacing w:after="80"/>
      </w:pPr>
      <w:r>
        <w:rPr>
          <w:rFonts w:ascii="Calibri" w:cs="Calibri" w:eastAsia="Calibri" w:hAnsi="Calibri"/>
          <w:sz w:val="22"/>
          <w:szCs w:val="22"/>
        </w:rPr>
        <w:t xml:space="preserve">3. de bescherming van de (gewezen) partner bij omzetting naar een ODV toepassen;</w:t>
      </w:r>
    </w:p>
    <w:p>
      <w:pPr>
        <w:pStyle w:val="ListParagraph"/>
        <w:numPr>
          <w:ilvl w:val="0"/>
          <w:numId w:val="1"/>
        </w:numPr>
        <w:spacing w:after="80"/>
      </w:pPr>
      <w:r>
        <w:rPr>
          <w:rFonts w:ascii="Calibri" w:cs="Calibri" w:eastAsia="Calibri" w:hAnsi="Calibri"/>
          <w:sz w:val="22"/>
          <w:szCs w:val="22"/>
        </w:rPr>
        <w:t xml:space="preserve">4. de positie van de zzp’er in het pensioenstelsel plaatsen, inclusief de rol van de derde pijler;</w:t>
      </w:r>
    </w:p>
    <w:p>
      <w:pPr>
        <w:pStyle w:val="ListParagraph"/>
        <w:numPr>
          <w:ilvl w:val="0"/>
          <w:numId w:val="1"/>
        </w:numPr>
        <w:spacing w:after="80"/>
      </w:pPr>
      <w:r>
        <w:rPr>
          <w:rFonts w:ascii="Calibri" w:cs="Calibri" w:eastAsia="Calibri" w:hAnsi="Calibri"/>
          <w:sz w:val="22"/>
          <w:szCs w:val="22"/>
        </w:rPr>
        <w:t xml:space="preserve">5. de jaarruimteformule voor de derde pijler concreet doorrekenen;</w:t>
      </w:r>
    </w:p>
    <w:p>
      <w:pPr>
        <w:pStyle w:val="ListParagraph"/>
        <w:numPr>
          <w:ilvl w:val="0"/>
          <w:numId w:val="1"/>
        </w:numPr>
        <w:spacing w:after="80"/>
      </w:pPr>
      <w:r>
        <w:rPr>
          <w:rFonts w:ascii="Calibri" w:cs="Calibri" w:eastAsia="Calibri" w:hAnsi="Calibri"/>
          <w:sz w:val="22"/>
          <w:szCs w:val="22"/>
        </w:rPr>
        <w:t xml:space="preserve">6. Ferdi van Doorns eigen pensioenpositie als DGA analyseren — het dossier dat sinds deel 11 is blijven liggen.</w:t>
      </w:r>
    </w:p>
    <w:p>
      <w:pPr>
        <w:spacing w:after="100"/>
      </w:pPr>
    </w:p>
    <w:p>
      <w:pPr>
        <w:pStyle w:val="Heading2"/>
        <w:spacing w:after="120" w:before="200"/>
      </w:pPr>
      <w:r>
        <w:rPr>
          <w:rFonts w:ascii="Georgia" w:cs="Georgia" w:eastAsia="Georgia" w:hAnsi="Georgia"/>
          <w:b/>
          <w:bCs/>
          <w:color w:val="2563A8"/>
          <w:sz w:val="28"/>
          <w:szCs w:val="28"/>
        </w:rPr>
        <w:t xml:space="preserve">26.2 Het dossier dat is blijven liggen</w:t>
      </w:r>
    </w:p>
    <w:p>
      <w:pPr>
        <w:spacing w:after="140" w:line="300"/>
      </w:pPr>
      <w:r>
        <w:rPr>
          <w:rFonts w:ascii="Calibri" w:cs="Calibri" w:eastAsia="Calibri" w:hAnsi="Calibri"/>
          <w:b w:val="false"/>
          <w:bCs w:val="false"/>
          <w:i w:val="false"/>
          <w:iCs w:val="false"/>
          <w:sz w:val="22"/>
          <w:szCs w:val="22"/>
        </w:rPr>
        <w:t xml:space="preserve">Terug naar deel 11: “de eigen positie van Ferdi als dga wordt behandeld in deel 26.” Door de hele cursus heen stond Ferdi centraal als </w:t>
      </w:r>
      <w:r>
        <w:rPr>
          <w:rFonts w:ascii="Calibri" w:cs="Calibri" w:eastAsia="Calibri" w:hAnsi="Calibri"/>
          <w:b w:val="false"/>
          <w:bCs w:val="false"/>
          <w:i/>
          <w:iCs/>
          <w:sz w:val="22"/>
          <w:szCs w:val="22"/>
        </w:rPr>
        <w:t xml:space="preserve">werkgever</w:t>
      </w:r>
      <w:r>
        <w:rPr>
          <w:rFonts w:ascii="Calibri" w:cs="Calibri" w:eastAsia="Calibri" w:hAnsi="Calibri"/>
          <w:b w:val="false"/>
          <w:bCs w:val="false"/>
          <w:i w:val="false"/>
          <w:iCs w:val="false"/>
          <w:sz w:val="22"/>
          <w:szCs w:val="22"/>
        </w:rPr>
        <w:t xml:space="preserve"> die beslissingen neemt over de pensioenregeling van zijn 85 medewerkers. Zijn eigen oudedagsvoorziening bleef buiten beeld — niet omdat zij onbelangrijk is, maar omdat zij een fundamenteel ander regime volgt dat een eigen, grondige behandeling verdient. Dit deel geeft die behandeling, en sluit tegelijk het laatste openstaande dossier van de casus.</w:t>
      </w:r>
    </w:p>
    <w:p>
      <w:pPr>
        <w:spacing w:after="100"/>
      </w:pPr>
    </w:p>
    <w:p>
      <w:pPr>
        <w:pStyle w:val="Heading2"/>
        <w:spacing w:after="120" w:before="200"/>
      </w:pPr>
      <w:r>
        <w:rPr>
          <w:rFonts w:ascii="Georgia" w:cs="Georgia" w:eastAsia="Georgia" w:hAnsi="Georgia"/>
          <w:b/>
          <w:bCs/>
          <w:color w:val="2563A8"/>
          <w:sz w:val="28"/>
          <w:szCs w:val="28"/>
        </w:rPr>
        <w:t xml:space="preserve">26.3 Pensioen in eigen beheer: geschiedenis in het kort</w:t>
      </w:r>
    </w:p>
    <w:p>
      <w:pPr>
        <w:spacing w:after="140" w:line="300"/>
      </w:pPr>
      <w:r>
        <w:rPr>
          <w:rFonts w:ascii="Calibri" w:cs="Calibri" w:eastAsia="Calibri" w:hAnsi="Calibri"/>
          <w:b w:val="false"/>
          <w:bCs w:val="false"/>
          <w:i w:val="false"/>
          <w:iCs w:val="false"/>
          <w:sz w:val="22"/>
          <w:szCs w:val="22"/>
        </w:rPr>
        <w:t xml:space="preserve">&lt;cite index=“151-1”&gt;Tot 1 juli 2017 kon de directeur-grootaandeelhouder zijn pensioen binnen zijn eigen onderneming opbouwen — pensioen in eigen beheer (PEB).&lt;/cite&gt; In plaats van premie af te dragen aan een externe uitvoerder, bleef het geld in de BV; op de balans stond een pensioenverplichting.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dit werd afgeschaft.</w:t>
      </w:r>
      <w:r>
        <w:rPr>
          <w:rFonts w:ascii="Calibri" w:cs="Calibri" w:eastAsia="Calibri" w:hAnsi="Calibri"/>
          <w:b w:val="false"/>
          <w:bCs w:val="false"/>
          <w:i w:val="false"/>
          <w:iCs w:val="false"/>
          <w:sz w:val="22"/>
          <w:szCs w:val="22"/>
        </w:rPr>
        <w:t xml:space="preserve"> &lt;cite index=“153-1”&gt;Het verschil tussen de fiscale en de commerciële waarde van de pensioenverplichting was het kernprobleem: de fiscale waarde op de balans was structureel lager dan de werkelijke, commerciële waarde&lt;/cite&gt; — een discrepantie die tot allerlei fiscale en juridische complicaties leidde, met name bij dividenduitkeringen, echtscheiding en bedrijfsbeëindiging.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uitfasering.</w:t>
      </w:r>
      <w:r>
        <w:rPr>
          <w:rFonts w:ascii="Calibri" w:cs="Calibri" w:eastAsia="Calibri" w:hAnsi="Calibri"/>
          <w:b w:val="false"/>
          <w:bCs w:val="false"/>
          <w:i w:val="false"/>
          <w:iCs w:val="false"/>
          <w:sz w:val="22"/>
          <w:szCs w:val="22"/>
        </w:rPr>
        <w:t xml:space="preserve"> &lt;cite index=“151-1”&gt;Sinds 1 juli 2017 is verdere opbouw van pensioen in eigen beheer niet meer mogelijk.&lt;/cite&gt; &lt;cite index=“154-1”&gt;Alle bestaande pensioenregelingen in eigen beheer moesten per die datum premievrij worden gemaakt.&lt;/cite&gt;</w:t>
      </w:r>
    </w:p>
    <w:p>
      <w:pPr>
        <w:spacing w:after="100"/>
      </w:pPr>
    </w:p>
    <w:p>
      <w:pPr>
        <w:pStyle w:val="Heading2"/>
        <w:spacing w:after="120" w:before="200"/>
      </w:pPr>
      <w:r>
        <w:rPr>
          <w:rFonts w:ascii="Georgia" w:cs="Georgia" w:eastAsia="Georgia" w:hAnsi="Georgia"/>
          <w:b/>
          <w:bCs/>
          <w:color w:val="2563A8"/>
          <w:sz w:val="28"/>
          <w:szCs w:val="28"/>
        </w:rPr>
        <w:t xml:space="preserve">26.4 Drie routes voor de bestaande aanspraak</w:t>
      </w:r>
    </w:p>
    <w:p>
      <w:pPr>
        <w:spacing w:after="140" w:line="300"/>
      </w:pPr>
      <w:r>
        <w:rPr>
          <w:rFonts w:ascii="Calibri" w:cs="Calibri" w:eastAsia="Calibri" w:hAnsi="Calibri"/>
          <w:b w:val="false"/>
          <w:bCs w:val="false"/>
          <w:i w:val="false"/>
          <w:iCs w:val="false"/>
          <w:sz w:val="22"/>
          <w:szCs w:val="22"/>
        </w:rPr>
        <w:t xml:space="preserve">&lt;cite index=“154-1”&gt;DGA’s met een premievrij gemaakte pensioenaanspraak in eigen beheer kregen drie keuzemogelijkheden&lt;/cite&gt;, vergelijkbaar in structuur — al niet identiek in regime — met de drie routes voor bestaande aanspraken uit deel 5 en 16:</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 Niets doen.</w:t>
      </w:r>
      <w:r>
        <w:rPr>
          <w:rFonts w:ascii="Calibri" w:cs="Calibri" w:eastAsia="Calibri" w:hAnsi="Calibri"/>
          <w:b w:val="false"/>
          <w:bCs w:val="false"/>
          <w:i w:val="false"/>
          <w:iCs w:val="false"/>
          <w:sz w:val="22"/>
          <w:szCs w:val="22"/>
        </w:rPr>
        <w:t xml:space="preserve"> &lt;cite index=“154-1”&gt;De premievrije pensioenaanspraak in eigen beheer blijft ongewijzigd bestaan.&lt;/cite&gt; &lt;cite index=“155-1”&gt;Dit betekent nog steeds dezelfde verplichting tussen BV en DGA als eerder afgesproken, zonder verdere opbouw.&lt;/cite&gt;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2. Afkopen.</w:t>
      </w:r>
      <w:r>
        <w:rPr>
          <w:rFonts w:ascii="Calibri" w:cs="Calibri" w:eastAsia="Calibri" w:hAnsi="Calibri"/>
          <w:b w:val="false"/>
          <w:bCs w:val="false"/>
          <w:i w:val="false"/>
          <w:iCs w:val="false"/>
          <w:sz w:val="22"/>
          <w:szCs w:val="22"/>
        </w:rPr>
        <w:t xml:space="preserve"> &lt;cite index=“154-1”&gt;De vennootschap keert een bedrag ineens uit aan de DGA, met directe afrekening met de Belastingdienst&lt;/cite&gt; — destijds met een tijdelijke fiscale korting als stimulans.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3. Omzetten naar een ODV.</w:t>
      </w:r>
      <w:r>
        <w:rPr>
          <w:rFonts w:ascii="Calibri" w:cs="Calibri" w:eastAsia="Calibri" w:hAnsi="Calibri"/>
          <w:b w:val="false"/>
          <w:bCs w:val="false"/>
          <w:i w:val="false"/>
          <w:iCs w:val="false"/>
          <w:sz w:val="22"/>
          <w:szCs w:val="22"/>
        </w:rPr>
        <w:t xml:space="preserve"> &lt;cite index=“157-1”&gt;Ongeveer 55.000 DGA’s hebben van deze route gebruikgemaakt.&lt;/cite&gt;</w:t>
      </w:r>
    </w:p>
    <w:p>
      <w:pPr>
        <w:spacing w:after="100"/>
      </w:pPr>
    </w:p>
    <w:p>
      <w:pPr>
        <w:pStyle w:val="Heading2"/>
        <w:spacing w:after="120" w:before="200"/>
      </w:pPr>
      <w:r>
        <w:rPr>
          <w:rFonts w:ascii="Georgia" w:cs="Georgia" w:eastAsia="Georgia" w:hAnsi="Georgia"/>
          <w:b/>
          <w:bCs/>
          <w:color w:val="2563A8"/>
          <w:sz w:val="28"/>
          <w:szCs w:val="28"/>
        </w:rPr>
        <w:t xml:space="preserve">26.5 De oudedagsverplichting (ODV) ontleed</w:t>
      </w:r>
    </w:p>
    <w:p>
      <w:pPr>
        <w:spacing w:after="140" w:line="300"/>
      </w:pPr>
      <w:r>
        <w:rPr>
          <w:rFonts w:ascii="Calibri" w:cs="Calibri" w:eastAsia="Calibri" w:hAnsi="Calibri"/>
          <w:b w:val="false"/>
          <w:bCs w:val="false"/>
          <w:i w:val="false"/>
          <w:iCs w:val="false"/>
          <w:sz w:val="22"/>
          <w:szCs w:val="22"/>
        </w:rPr>
        <w:t xml:space="preserve">&lt;cite index=“153-1”&gt;De ODV is een aanspraak op een reeks gelijke uitkeringen over een periode van 20 jaar, ingaand op de AOW-leeftijd.&lt;/cite&gt;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Startwaarde.</w:t>
      </w:r>
      <w:r>
        <w:rPr>
          <w:rFonts w:ascii="Calibri" w:cs="Calibri" w:eastAsia="Calibri" w:hAnsi="Calibri"/>
          <w:b w:val="false"/>
          <w:bCs w:val="false"/>
          <w:i w:val="false"/>
          <w:iCs w:val="false"/>
          <w:sz w:val="22"/>
          <w:szCs w:val="22"/>
        </w:rPr>
        <w:t xml:space="preserve"> &lt;cite index=“153-1”&gt;De fiscale waarde van het pensioen in eigen beheer op het moment van omzetting vormt het startkapitaal.&lt;/cite&gt;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Oprenting.</w:t>
      </w:r>
      <w:r>
        <w:rPr>
          <w:rFonts w:ascii="Calibri" w:cs="Calibri" w:eastAsia="Calibri" w:hAnsi="Calibri"/>
          <w:b w:val="false"/>
          <w:bCs w:val="false"/>
          <w:i w:val="false"/>
          <w:iCs w:val="false"/>
          <w:sz w:val="22"/>
          <w:szCs w:val="22"/>
        </w:rPr>
        <w:t xml:space="preserve"> &lt;cite index=“153-1”&gt;Dit kapitaal rent jaarlijks op met het U-rendement, een marktrente die door het CBS wordt gepubliceerd.&lt;/cite&gt; &lt;cite index=“157-1”&gt;Voor 2025 bedroeg dit percentage 2,602%, voor 2026 2,593%&lt;/cite&gt; — een percentage dat, net als de fiscale cijfers uit deel 11, jaarlijks verandert en dus altijd actueel moet worden gecontroleerd.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Ingangsmoment en duur.</w:t>
      </w:r>
      <w:r>
        <w:rPr>
          <w:rFonts w:ascii="Calibri" w:cs="Calibri" w:eastAsia="Calibri" w:hAnsi="Calibri"/>
          <w:b w:val="false"/>
          <w:bCs w:val="false"/>
          <w:i w:val="false"/>
          <w:iCs w:val="false"/>
          <w:sz w:val="22"/>
          <w:szCs w:val="22"/>
        </w:rPr>
        <w:t xml:space="preserve"> &lt;cite index=“152-1”&gt;Een ODV mag beginnen met uitkeren vanaf vijf jaar vóór het jaar waarin de gerechtigde AOW ontvangt, en moet uiterlijk twee maanden later ingaan dan de AOW zelf.&lt;/cite&gt; &lt;cite index=“152-1”&gt;De uitkeringsduur is twintig jaar, te verhogen met het aantal jaren — maximaal vijf — dat de uitkering eerder is ingegaan dan in het AOW-jaar.&lt;/cite&gt;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rekenregel.</w:t>
      </w:r>
      <w:r>
        <w:rPr>
          <w:rFonts w:ascii="Calibri" w:cs="Calibri" w:eastAsia="Calibri" w:hAnsi="Calibri"/>
          <w:b w:val="false"/>
          <w:bCs w:val="false"/>
          <w:i w:val="false"/>
          <w:iCs w:val="false"/>
          <w:sz w:val="22"/>
          <w:szCs w:val="22"/>
        </w:rPr>
        <w:t xml:space="preserve"> &lt;cite index=“154-1”&gt;De jaarlijkse uitkering wordt berekend als: stand van de ODV-verplichting gedeeld door twintig jaar&lt;/cite&gt; (of vijfentwintig jaar bij de maximale vervroeging), met een doorlopende oprenting over het resterende saldo tijdens de uitkeringsfase zelf.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Rekenvoorbeeld.</w:t>
      </w:r>
      <w:r>
        <w:rPr>
          <w:rFonts w:ascii="Calibri" w:cs="Calibri" w:eastAsia="Calibri" w:hAnsi="Calibri"/>
          <w:b w:val="false"/>
          <w:bCs w:val="false"/>
          <w:i w:val="false"/>
          <w:iCs w:val="false"/>
          <w:sz w:val="22"/>
          <w:szCs w:val="22"/>
        </w:rPr>
        <w:t xml:space="preserve"> &lt;cite index=“153-1”&gt;Bij een startwaarde van € 250.000 in 2017 en een gemiddeld U-rendement van 3% over de oprentingsperiode, groeit het kapitaal geleidelijk; de exacte berekening tijdens de uitkeringsfase, met doorlopende oprenting over het resterende saldo, is complexer dan een simpele deling en wordt in de praktijk door de boekhouder of adviseur gemaakt.&lt;/cite&gt;</w:t>
      </w:r>
    </w:p>
    <w:p>
      <w:pPr>
        <w:spacing w:after="100"/>
      </w:pPr>
    </w:p>
    <w:p>
      <w:pPr>
        <w:pStyle w:val="Heading2"/>
        <w:spacing w:after="120" w:before="200"/>
      </w:pPr>
      <w:r>
        <w:rPr>
          <w:rFonts w:ascii="Georgia" w:cs="Georgia" w:eastAsia="Georgia" w:hAnsi="Georgia"/>
          <w:b/>
          <w:bCs/>
          <w:color w:val="2563A8"/>
          <w:sz w:val="28"/>
          <w:szCs w:val="28"/>
        </w:rPr>
        <w:t xml:space="preserve">26.6 De bescherming van de (gewezen) partner</w:t>
      </w:r>
    </w:p>
    <w:p>
      <w:pPr>
        <w:spacing w:after="140" w:line="300"/>
      </w:pPr>
      <w:r>
        <w:rPr>
          <w:rFonts w:ascii="Calibri" w:cs="Calibri" w:eastAsia="Calibri" w:hAnsi="Calibri"/>
          <w:b w:val="false"/>
          <w:bCs w:val="false"/>
          <w:i w:val="false"/>
          <w:iCs w:val="false"/>
          <w:sz w:val="22"/>
          <w:szCs w:val="22"/>
        </w:rPr>
        <w:t xml:space="preserve">Dit is het punt waar de ODV-materie rechtstreeks aansluit bij deel 9 (verevening en bijzonder partnerpensioen) en deel 8 (nabestaandendekking).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Instemming vereist bij prijsgeven.</w:t>
      </w:r>
      <w:r>
        <w:rPr>
          <w:rFonts w:ascii="Calibri" w:cs="Calibri" w:eastAsia="Calibri" w:hAnsi="Calibri"/>
          <w:b w:val="false"/>
          <w:bCs w:val="false"/>
          <w:i w:val="false"/>
          <w:iCs w:val="false"/>
          <w:sz w:val="22"/>
          <w:szCs w:val="22"/>
        </w:rPr>
        <w:t xml:space="preserve"> &lt;cite index=“150-1”&gt;Als de DGA een partner had in de zin van de Pensioenwet, was het prijsgeven van het pensioen in eigen beheer alleen toegestaan na schriftelijke instemming van die partner. Ook een gewezen partner met een afgeleid recht op een deel van de in eigen beheer verzekerde pensioenaanspraken moest schriftelijk instemmen.&lt;/cite&gt;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Compensatie bij verlies van rechten.</w:t>
      </w:r>
      <w:r>
        <w:rPr>
          <w:rFonts w:ascii="Calibri" w:cs="Calibri" w:eastAsia="Calibri" w:hAnsi="Calibri"/>
          <w:b w:val="false"/>
          <w:bCs w:val="false"/>
          <w:i w:val="false"/>
          <w:iCs w:val="false"/>
          <w:sz w:val="22"/>
          <w:szCs w:val="22"/>
        </w:rPr>
        <w:t xml:space="preserve"> &lt;cite index=“150-1”&gt;Bij omzetting naar een ODV kon aan de (gewezen) partner een passende compensatie worden geboden voor het verlies van rechten als gevolg van de uitfasering — met name het partnerpensioen bij overlijden en het recht op verevening van het ouderdomspensioen bij scheiding. De compensatie kon bestaan uit een uitkering ineens of een voorwaardelijke uitkering.&lt;/cite&gt;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dit ertoe doet.</w:t>
      </w:r>
      <w:r>
        <w:rPr>
          <w:rFonts w:ascii="Calibri" w:cs="Calibri" w:eastAsia="Calibri" w:hAnsi="Calibri"/>
          <w:b w:val="false"/>
          <w:bCs w:val="false"/>
          <w:i w:val="false"/>
          <w:iCs w:val="false"/>
          <w:sz w:val="22"/>
          <w:szCs w:val="22"/>
        </w:rPr>
        <w:t xml:space="preserve"> Een ODV kent, anders dan een reguliere pensioenregeling, geen ingebouwd partnerpensioen (deel 8) en geen automatisch vereveningsmechanisme (deel 9) — de bescherming die daar voor werknemers is opgebouwd, moest bij de DGA-uitfasering apart, contractueel worden geregeld. Een adviseur die een DGA-dossier beoordeelt, moet daarom expliciet controleren of deze compensatie destijds is geregeld, en zo niet, wat de positie van de partner nu is.</w:t>
      </w:r>
    </w:p>
    <w:p>
      <w:pPr>
        <w:spacing w:after="100"/>
      </w:pPr>
    </w:p>
    <w:p>
      <w:pPr>
        <w:pStyle w:val="Heading2"/>
        <w:spacing w:after="120" w:before="200"/>
      </w:pPr>
      <w:r>
        <w:rPr>
          <w:rFonts w:ascii="Georgia" w:cs="Georgia" w:eastAsia="Georgia" w:hAnsi="Georgia"/>
          <w:b/>
          <w:bCs/>
          <w:color w:val="2563A8"/>
          <w:sz w:val="28"/>
          <w:szCs w:val="28"/>
        </w:rPr>
        <w:t xml:space="preserve">26.7 Afstorten naar een externe lijfrente</w:t>
      </w:r>
    </w:p>
    <w:p>
      <w:pPr>
        <w:spacing w:after="140" w:line="300"/>
      </w:pPr>
      <w:r>
        <w:rPr>
          <w:rFonts w:ascii="Calibri" w:cs="Calibri" w:eastAsia="Calibri" w:hAnsi="Calibri"/>
          <w:b w:val="false"/>
          <w:bCs w:val="false"/>
          <w:i w:val="false"/>
          <w:iCs w:val="false"/>
          <w:sz w:val="22"/>
          <w:szCs w:val="22"/>
        </w:rPr>
        <w:t xml:space="preserve">&lt;cite index=“157-1”&gt;Afstorten van de ODV-verplichting naar een externe lijfrente-aanbieder behoort tot de mogelijkheden en kan interessant zijn&lt;/cite&gt; — bijvoorbeeld wanneer de BV wordt verkocht, geliquideerd, of wanneer de DGA de voorziening wil losmaken van het ondernemingsrisico. Dit is inhoudelijk verwant aan de waardeoverdracht uit deel 9, nu toegepast op een DGA-specifieke constructie.</w:t>
      </w:r>
    </w:p>
    <w:p>
      <w:pPr>
        <w:spacing w:after="100"/>
      </w:pPr>
    </w:p>
    <w:p>
      <w:pPr>
        <w:pStyle w:val="Heading2"/>
        <w:spacing w:after="120" w:before="200"/>
      </w:pPr>
      <w:r>
        <w:rPr>
          <w:rFonts w:ascii="Georgia" w:cs="Georgia" w:eastAsia="Georgia" w:hAnsi="Georgia"/>
          <w:b/>
          <w:bCs/>
          <w:color w:val="2563A8"/>
          <w:sz w:val="28"/>
          <w:szCs w:val="28"/>
        </w:rPr>
        <w:t xml:space="preserve">26.8 De derde pijler: jaarruimte in detail</w:t>
      </w:r>
    </w:p>
    <w:p>
      <w:pPr>
        <w:spacing w:after="140" w:line="300"/>
      </w:pPr>
      <w:r>
        <w:rPr>
          <w:rFonts w:ascii="Calibri" w:cs="Calibri" w:eastAsia="Calibri" w:hAnsi="Calibri"/>
          <w:b w:val="false"/>
          <w:bCs w:val="false"/>
          <w:i w:val="false"/>
          <w:iCs w:val="false"/>
          <w:sz w:val="22"/>
          <w:szCs w:val="22"/>
        </w:rPr>
        <w:t xml:space="preserve">Terug naar deel 11, paragraaf 11.6, waar de jaarruimteformule kort werd geïntroduceerd. Dit deel werkt haar volledig uit, want voor een DGA zonder (volledige) tweedepijleropbouw — en voor de zzp’er die zonder werkgever geen tweede pijler heeft — is dit vaak de belangrijkste resterende route.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formule (2026):</w:t>
      </w:r>
      <w:r>
        <w:rPr>
          <w:rFonts w:ascii="Calibri" w:cs="Calibri" w:eastAsia="Calibri" w:hAnsi="Calibri"/>
          <w:b w:val="false"/>
          <w:bCs w:val="false"/>
          <w:i w:val="false"/>
          <w:iCs w:val="false"/>
          <w:sz w:val="22"/>
          <w:szCs w:val="22"/>
        </w:rPr>
        <w:t xml:space="preserve"> 30% × (gemaximeerd inkomen − AOW-franchise van € 19.172), verminderd met een correctie voor eventueel elders opgebouwd pensioen (de Factor A, vermenigvuldigd met 6,27), met een maximum van € 35.589.</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Voor de DGA specifiek.</w:t>
      </w:r>
      <w:r>
        <w:rPr>
          <w:rFonts w:ascii="Calibri" w:cs="Calibri" w:eastAsia="Calibri" w:hAnsi="Calibri"/>
          <w:b w:val="false"/>
          <w:bCs w:val="false"/>
          <w:i w:val="false"/>
          <w:iCs w:val="false"/>
          <w:sz w:val="22"/>
          <w:szCs w:val="22"/>
        </w:rPr>
        <w:t xml:space="preserve"> Heeft de DGA geen actuele tweedepijleropbouw (zoals na de uitfasering van PEB), dan is de aftrek voor Factor A doorgaans nihil, en kan hij de volledige jaarruimte benutten voor lijfrente — bovenop of naast een eventuele ODV, die immers geen lopende opbouw meer is maar een bevroren, oprentende verplichting.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Voor de zzp’er.</w:t>
      </w:r>
      <w:r>
        <w:rPr>
          <w:rFonts w:ascii="Calibri" w:cs="Calibri" w:eastAsia="Calibri" w:hAnsi="Calibri"/>
          <w:b w:val="false"/>
          <w:bCs w:val="false"/>
          <w:i w:val="false"/>
          <w:iCs w:val="false"/>
          <w:sz w:val="22"/>
          <w:szCs w:val="22"/>
        </w:rPr>
        <w:t xml:space="preserve"> Zonder werkgever is er geen tweedepijleropbouw, dus ook geen Factor A-correctie. De volledige jaarruimte staat open, wat de derde pijler voor deze groep tot de primaire opbouwvorm maakt — een fundamenteel andere positie dan de werknemer die in deze cursus tot nu toe centraal stond.</w:t>
      </w:r>
    </w:p>
    <w:p>
      <w:pPr>
        <w:spacing w:after="100"/>
      </w:pPr>
    </w:p>
    <w:p>
      <w:pPr>
        <w:pStyle w:val="Heading2"/>
        <w:spacing w:after="120" w:before="200"/>
      </w:pPr>
      <w:r>
        <w:rPr>
          <w:rFonts w:ascii="Georgia" w:cs="Georgia" w:eastAsia="Georgia" w:hAnsi="Georgia"/>
          <w:b/>
          <w:bCs/>
          <w:color w:val="2563A8"/>
          <w:sz w:val="28"/>
          <w:szCs w:val="28"/>
        </w:rPr>
        <w:t xml:space="preserve">26.9 De zzp’er: geen automatische aansluiting</w:t>
      </w:r>
    </w:p>
    <w:p>
      <w:pPr>
        <w:spacing w:after="140" w:line="300"/>
      </w:pPr>
      <w:r>
        <w:rPr>
          <w:rFonts w:ascii="Calibri" w:cs="Calibri" w:eastAsia="Calibri" w:hAnsi="Calibri"/>
          <w:b w:val="false"/>
          <w:bCs w:val="false"/>
          <w:i w:val="false"/>
          <w:iCs w:val="false"/>
          <w:sz w:val="22"/>
          <w:szCs w:val="22"/>
        </w:rPr>
        <w:t xml:space="preserve">In tegenstelling tot de werknemer uit deel 1 tot en met 25, bouwt de zzp’er in de regel geen verplicht tweedepijlerpensioen op. Enkele nuances:</w:t>
      </w:r>
    </w:p>
    <w:p>
      <w:pPr>
        <w:pStyle w:val="ListParagraph"/>
        <w:numPr>
          <w:ilvl w:val="0"/>
          <w:numId w:val="1"/>
        </w:numPr>
        <w:spacing w:after="80"/>
      </w:pPr>
      <w:r>
        <w:rPr>
          <w:rFonts w:ascii="Calibri" w:cs="Calibri" w:eastAsia="Calibri" w:hAnsi="Calibri"/>
          <w:sz w:val="22"/>
          <w:szCs w:val="22"/>
        </w:rPr>
        <w:t xml:space="preserve">Een zzp’er die voorheen in loondienst was en overstapt, kan onder specifieke voorwaarden vrijwillig zijn deelname aan een bedrijfstakpensioenfonds voortzetten — een omgekeerde variant van de vrijwillige aansluiting uit deel 4.</w:t>
      </w:r>
    </w:p>
    <w:p>
      <w:pPr>
        <w:pStyle w:val="ListParagraph"/>
        <w:numPr>
          <w:ilvl w:val="0"/>
          <w:numId w:val="1"/>
        </w:numPr>
        <w:spacing w:after="80"/>
      </w:pPr>
      <w:r>
        <w:rPr>
          <w:rFonts w:ascii="Calibri" w:cs="Calibri" w:eastAsia="Calibri" w:hAnsi="Calibri"/>
          <w:sz w:val="22"/>
          <w:szCs w:val="22"/>
        </w:rPr>
        <w:t xml:space="preserve">Sommige sectoren kennen een verplichtstelling die ook zelfstandigen raakt (bijvoorbeeld in de bouw, onder specifieke voorwaarden) — controleer dit per sector, net zoals de werkingssfeertoets uit deel 4 voor werkgevers.</w:t>
      </w:r>
    </w:p>
    <w:p>
      <w:pPr>
        <w:pStyle w:val="ListParagraph"/>
        <w:numPr>
          <w:ilvl w:val="0"/>
          <w:numId w:val="1"/>
        </w:numPr>
        <w:spacing w:after="80"/>
      </w:pPr>
      <w:r>
        <w:rPr>
          <w:rFonts w:ascii="Calibri" w:cs="Calibri" w:eastAsia="Calibri" w:hAnsi="Calibri"/>
          <w:sz w:val="22"/>
          <w:szCs w:val="22"/>
        </w:rPr>
        <w:t xml:space="preserve">Voor de overgrote meerderheid van zzp’ers is de derde pijler, aangevuld met eigen vermogen en soms de waarde van de onderneming zelf bij verkoop, de facto de oudedagsvoorziening.</w:t>
      </w:r>
    </w:p>
    <w:p>
      <w:pPr>
        <w:spacing w:after="100"/>
      </w:pPr>
    </w:p>
    <w:p>
      <w:pPr>
        <w:pStyle w:val="Heading2"/>
        <w:spacing w:after="120" w:before="200"/>
      </w:pPr>
      <w:r>
        <w:rPr>
          <w:rFonts w:ascii="Georgia" w:cs="Georgia" w:eastAsia="Georgia" w:hAnsi="Georgia"/>
          <w:b/>
          <w:bCs/>
          <w:color w:val="2563A8"/>
          <w:sz w:val="28"/>
          <w:szCs w:val="28"/>
        </w:rPr>
        <w:t xml:space="preserve">26.10 Toepassing: Ferdi van Doorns eigen dossier</w:t>
      </w:r>
    </w:p>
    <w:p>
      <w:pPr>
        <w:spacing w:after="140" w:line="300"/>
      </w:pPr>
      <w:r>
        <w:rPr>
          <w:rFonts w:ascii="Calibri" w:cs="Calibri" w:eastAsia="Calibri" w:hAnsi="Calibri"/>
          <w:b w:val="false"/>
          <w:bCs w:val="false"/>
          <w:i w:val="false"/>
          <w:iCs w:val="false"/>
          <w:sz w:val="22"/>
          <w:szCs w:val="22"/>
        </w:rPr>
        <w:t xml:space="preserve">Ferdi is directeur-grootaandeelhouder van Van Doorn Techniek. Zijn eigen pensioenpositie:</w:t>
      </w:r>
    </w:p>
    <w:p>
      <w:pPr>
        <w:pStyle w:val="ListParagraph"/>
        <w:numPr>
          <w:ilvl w:val="0"/>
          <w:numId w:val="1"/>
        </w:numPr>
        <w:spacing w:after="80"/>
      </w:pPr>
      <w:r>
        <w:rPr>
          <w:rFonts w:ascii="Calibri" w:cs="Calibri" w:eastAsia="Calibri" w:hAnsi="Calibri"/>
          <w:sz w:val="22"/>
          <w:szCs w:val="22"/>
        </w:rPr>
        <w:t xml:space="preserve">Vóór 2017: opbouw van pensioen in eigen beheer binnen Van Doorn Techniek B.V.</w:t>
      </w:r>
    </w:p>
    <w:p>
      <w:pPr>
        <w:pStyle w:val="ListParagraph"/>
        <w:numPr>
          <w:ilvl w:val="0"/>
          <w:numId w:val="1"/>
        </w:numPr>
        <w:spacing w:after="80"/>
      </w:pPr>
      <w:r>
        <w:rPr>
          <w:rFonts w:ascii="Calibri" w:cs="Calibri" w:eastAsia="Calibri" w:hAnsi="Calibri"/>
          <w:sz w:val="22"/>
          <w:szCs w:val="22"/>
        </w:rPr>
        <w:t xml:space="preserve">Sinds 2017: premievrij gemaakt; Ferdi koos destijds voor omzetting naar een ODV.</w:t>
      </w:r>
    </w:p>
    <w:p>
      <w:pPr>
        <w:pStyle w:val="ListParagraph"/>
        <w:numPr>
          <w:ilvl w:val="0"/>
          <w:numId w:val="1"/>
        </w:numPr>
        <w:spacing w:after="80"/>
      </w:pPr>
      <w:r>
        <w:rPr>
          <w:rFonts w:ascii="Calibri" w:cs="Calibri" w:eastAsia="Calibri" w:hAnsi="Calibri"/>
          <w:sz w:val="22"/>
          <w:szCs w:val="22"/>
        </w:rPr>
        <w:t xml:space="preserve">Nu (2026): de ODV rent op met het U-rendement; Ferdi is 54 en nadert de fase waarin de eerste keuzes over het ingangsmoment relevant worden.</w:t>
      </w:r>
    </w:p>
    <w:p>
      <w:pPr>
        <w:pStyle w:val="ListParagraph"/>
        <w:numPr>
          <w:ilvl w:val="0"/>
          <w:numId w:val="1"/>
        </w:numPr>
        <w:spacing w:after="80"/>
      </w:pPr>
      <w:r>
        <w:rPr>
          <w:rFonts w:ascii="Calibri" w:cs="Calibri" w:eastAsia="Calibri" w:hAnsi="Calibri"/>
          <w:sz w:val="22"/>
          <w:szCs w:val="22"/>
        </w:rPr>
        <w:t xml:space="preserve">Openstaande vraag 1: is destijds, bij de omzetting, een compensatieregeling met zijn echtgenote getroffen voor het verlies van het partnerpensioen en het vereveningsrecht? Dit moet worden nagegaan, niet aangenomen.</w:t>
      </w:r>
    </w:p>
    <w:p>
      <w:pPr>
        <w:pStyle w:val="ListParagraph"/>
        <w:numPr>
          <w:ilvl w:val="0"/>
          <w:numId w:val="1"/>
        </w:numPr>
        <w:spacing w:after="80"/>
      </w:pPr>
      <w:r>
        <w:rPr>
          <w:rFonts w:ascii="Calibri" w:cs="Calibri" w:eastAsia="Calibri" w:hAnsi="Calibri"/>
          <w:sz w:val="22"/>
          <w:szCs w:val="22"/>
        </w:rPr>
        <w:t xml:space="preserve">Openstaande vraag 2: benut Ferdi zijn jaarruimte in de derde pijler, gezien het feit dat hij sinds 2017 geen lopende tweedepijleropbouw meer heeft?</w:t>
      </w:r>
    </w:p>
    <w:p>
      <w:pPr>
        <w:pStyle w:val="ListParagraph"/>
        <w:numPr>
          <w:ilvl w:val="0"/>
          <w:numId w:val="1"/>
        </w:numPr>
        <w:spacing w:after="80"/>
      </w:pPr>
      <w:r>
        <w:rPr>
          <w:rFonts w:ascii="Calibri" w:cs="Calibri" w:eastAsia="Calibri" w:hAnsi="Calibri"/>
          <w:sz w:val="22"/>
          <w:szCs w:val="22"/>
        </w:rPr>
        <w:t xml:space="preserve">Openstaande vraag 3: nu Van Doorn Techniek een nieuwe pensioenregeling voor zijn personeel heeft (deel 15), is er reden om ook Ferdi’s eigen positie te herzien — bijvoorbeeld door hem, als werknemer van zijn eigen BV in fiscale zin, alsnog aan te sluiten bij een reguliere regeling voor het deel van zijn inkomen dat daarvoor in aanmerking komt?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les voor de adviespraktijk.</w:t>
      </w:r>
      <w:r>
        <w:rPr>
          <w:rFonts w:ascii="Calibri" w:cs="Calibri" w:eastAsia="Calibri" w:hAnsi="Calibri"/>
          <w:b w:val="false"/>
          <w:bCs w:val="false"/>
          <w:i w:val="false"/>
          <w:iCs w:val="false"/>
          <w:sz w:val="22"/>
          <w:szCs w:val="22"/>
        </w:rPr>
        <w:t xml:space="preserve"> Een adviseur die uitsluitend de personeelsregeling van een DGA-onderneming behandelt en de eigen positie van de DGA zelf nooit ter sprake brengt, laat een deel van het dossier onbehandeld dat vaak het grootste individuele vermogensbelang van de klant betreft.</w:t>
      </w:r>
    </w:p>
    <w:p>
      <w:pPr>
        <w:spacing w:after="100"/>
      </w:pPr>
    </w:p>
    <w:p>
      <w:pPr>
        <w:pStyle w:val="Heading2"/>
        <w:spacing w:after="120" w:before="200"/>
      </w:pPr>
      <w:r>
        <w:rPr>
          <w:rFonts w:ascii="Georgia" w:cs="Georgia" w:eastAsia="Georgia" w:hAnsi="Georgia"/>
          <w:b/>
          <w:bCs/>
          <w:color w:val="2563A8"/>
          <w:sz w:val="28"/>
          <w:szCs w:val="28"/>
        </w:rPr>
        <w:t xml:space="preserve">26.11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Pensioen in eigen beheer (PEB)</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Pensioenopbouw van de DGA binnen zijn eigen BV, sinds 2017 niet meer mogelijk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Oudedagsverplichting (ODV)</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Omzetting van het premievrije PEB in een 20-jarige uitkeringsreeks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U-rendement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Marktrente waarmee de ODV jaarlijks oprent, jaarlijks vastgesteld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Afstorten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Overdracht van de ODV-verplichting naar een externe lijfrente-aanbieder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Jaarruimte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Fiscale ruimte voor lijfrente in de derde pijler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Factor A</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Correctie in de jaarruimteformule voor reeds opgebouwd tweedepijlerpensioen</w:t>
            </w:r>
          </w:p>
        </w:tc>
      </w:tr>
    </w:tbl>
    <w:p>
      <w:pPr>
        <w:spacing w:after="100"/>
      </w:pPr>
    </w:p>
    <w:p>
      <w:pPr>
        <w:pStyle w:val="Heading2"/>
        <w:spacing w:after="120" w:before="200"/>
      </w:pPr>
      <w:r>
        <w:rPr>
          <w:rFonts w:ascii="Georgia" w:cs="Georgia" w:eastAsia="Georgia" w:hAnsi="Georgia"/>
          <w:b/>
          <w:bCs/>
          <w:color w:val="2563A8"/>
          <w:sz w:val="28"/>
          <w:szCs w:val="28"/>
        </w:rPr>
        <w:t xml:space="preserve">26.12 Samenvatting</w:t>
      </w:r>
    </w:p>
    <w:p>
      <w:pPr>
        <w:pStyle w:val="ListParagraph"/>
        <w:numPr>
          <w:ilvl w:val="0"/>
          <w:numId w:val="1"/>
        </w:numPr>
        <w:spacing w:after="80"/>
      </w:pPr>
      <w:r>
        <w:rPr>
          <w:rFonts w:ascii="Calibri" w:cs="Calibri" w:eastAsia="Calibri" w:hAnsi="Calibri"/>
          <w:sz w:val="22"/>
          <w:szCs w:val="22"/>
        </w:rPr>
        <w:t xml:space="preserve">Pensioen in eigen beheer is sinds 1 juli 2017 uitgefaseerd; DGA’s kozen tussen niets doen, afkopen, of omzetten naar een ODV.</w:t>
      </w:r>
    </w:p>
    <w:p>
      <w:pPr>
        <w:pStyle w:val="ListParagraph"/>
        <w:numPr>
          <w:ilvl w:val="0"/>
          <w:numId w:val="1"/>
        </w:numPr>
        <w:spacing w:after="80"/>
      </w:pPr>
      <w:r>
        <w:rPr>
          <w:rFonts w:ascii="Calibri" w:cs="Calibri" w:eastAsia="Calibri" w:hAnsi="Calibri"/>
          <w:sz w:val="22"/>
          <w:szCs w:val="22"/>
        </w:rPr>
        <w:t xml:space="preserve">De ODV is een 20-jarige uitkeringsreeks, opgebouwd uit de fiscale waarde op het omzettingsmoment, opgerent met het jaarlijks vastgestelde U-rendement.</w:t>
      </w:r>
    </w:p>
    <w:p>
      <w:pPr>
        <w:pStyle w:val="ListParagraph"/>
        <w:numPr>
          <w:ilvl w:val="0"/>
          <w:numId w:val="1"/>
        </w:numPr>
        <w:spacing w:after="80"/>
      </w:pPr>
      <w:r>
        <w:rPr>
          <w:rFonts w:ascii="Calibri" w:cs="Calibri" w:eastAsia="Calibri" w:hAnsi="Calibri"/>
          <w:sz w:val="22"/>
          <w:szCs w:val="22"/>
        </w:rPr>
        <w:t xml:space="preserve">Prijsgeven van het PEB vereiste schriftelijke instemming van de (gewezen) partner, met ruimte voor compensatie van verloren rechten — een bescherming die niet automatisch in de ODV zelf is ingebouwd.</w:t>
      </w:r>
    </w:p>
    <w:p>
      <w:pPr>
        <w:pStyle w:val="ListParagraph"/>
        <w:numPr>
          <w:ilvl w:val="0"/>
          <w:numId w:val="1"/>
        </w:numPr>
        <w:spacing w:after="80"/>
      </w:pPr>
      <w:r>
        <w:rPr>
          <w:rFonts w:ascii="Calibri" w:cs="Calibri" w:eastAsia="Calibri" w:hAnsi="Calibri"/>
          <w:sz w:val="22"/>
          <w:szCs w:val="22"/>
        </w:rPr>
        <w:t xml:space="preserve">De derde pijler, met de jaarruimteformule uit deel 11 nu volledig uitgewerkt, is voor DGA’s zonder lopende opbouw en voor zzp’ers vaak de primaire resterende route.</w:t>
      </w:r>
    </w:p>
    <w:p>
      <w:pPr>
        <w:pStyle w:val="ListParagraph"/>
        <w:numPr>
          <w:ilvl w:val="0"/>
          <w:numId w:val="1"/>
        </w:numPr>
        <w:spacing w:after="80"/>
      </w:pPr>
      <w:r>
        <w:rPr>
          <w:rFonts w:ascii="Calibri" w:cs="Calibri" w:eastAsia="Calibri" w:hAnsi="Calibri"/>
          <w:sz w:val="22"/>
          <w:szCs w:val="22"/>
        </w:rPr>
        <w:t xml:space="preserve">Ferdi van Doorns eigen dossier — al sinds deel 11 aangekondigd — sluit hiermee als laatste openstaand punt van de hoofdcasus.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27.</w:t>
      </w:r>
      <w:r>
        <w:rPr>
          <w:rFonts w:ascii="Calibri" w:cs="Calibri" w:eastAsia="Calibri" w:hAnsi="Calibri"/>
          <w:b w:val="false"/>
          <w:bCs w:val="false"/>
          <w:i w:val="false"/>
          <w:iCs w:val="false"/>
          <w:sz w:val="22"/>
          <w:szCs w:val="22"/>
        </w:rPr>
        <w:t xml:space="preserve"> Tot nu toe keek niveau 3 vanuit het perspectief van de deelnemer, de werkgever en de toezichthouder. Deel 27 verlegt het perspectief naar de uitvoerder zelf: hoe ontwikkelt een verzekeraar als Meridiaan een nieuw, Wtp-conform product, en welke overwegingen — regulatoir, actuarieel, commercieel — spelen daarbij een rol?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2026-08-17T11:22:46.037Z</dcterms:created>
  <dcterms:modified xsi:type="dcterms:W3CDTF">2026-08-17T11:22:46.037Z</dcterms:modified>
</cp:coreProperties>
</file>

<file path=docProps/custom.xml><?xml version="1.0" encoding="utf-8"?>
<Properties xmlns="http://schemas.openxmlformats.org/officeDocument/2006/custom-properties" xmlns:vt="http://schemas.openxmlformats.org/officeDocument/2006/docPropsVTypes"/>
</file>